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both"/>
        <w:rPr>
          <w:sz w:val="84"/>
          <w:szCs w:val="84"/>
        </w:rPr>
      </w:pPr>
    </w:p>
    <w:p>
      <w:pPr>
        <w:pStyle w:val="10"/>
        <w:jc w:val="center"/>
        <w:rPr>
          <w:sz w:val="84"/>
          <w:szCs w:val="84"/>
        </w:rPr>
      </w:pPr>
      <w:r>
        <w:rPr>
          <w:rFonts w:hint="eastAsia"/>
          <w:sz w:val="84"/>
          <w:szCs w:val="84"/>
          <w:lang w:eastAsia="zh-CN"/>
        </w:rPr>
        <w:t>2021年</w:t>
      </w:r>
      <w:r>
        <w:rPr>
          <w:rFonts w:hint="eastAsia"/>
          <w:sz w:val="84"/>
          <w:szCs w:val="84"/>
        </w:rPr>
        <w:t>度</w:t>
      </w:r>
    </w:p>
    <w:p>
      <w:pPr>
        <w:pStyle w:val="10"/>
        <w:jc w:val="center"/>
        <w:rPr>
          <w:rFonts w:hint="eastAsia"/>
          <w:sz w:val="84"/>
          <w:szCs w:val="84"/>
          <w:lang w:eastAsia="zh-CN"/>
        </w:rPr>
      </w:pPr>
      <w:r>
        <w:rPr>
          <w:rFonts w:hint="eastAsia"/>
          <w:sz w:val="84"/>
          <w:szCs w:val="84"/>
          <w:lang w:eastAsia="zh-CN"/>
        </w:rPr>
        <w:t>两林乡人民政府</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both"/>
        <w:rPr>
          <w:sz w:val="32"/>
          <w:szCs w:val="32"/>
        </w:rPr>
      </w:pPr>
    </w:p>
    <w:p>
      <w:pPr>
        <w:pStyle w:val="10"/>
        <w:jc w:val="both"/>
        <w:rPr>
          <w:sz w:val="32"/>
          <w:szCs w:val="32"/>
        </w:rPr>
      </w:pPr>
    </w:p>
    <w:p>
      <w:pPr>
        <w:pStyle w:val="10"/>
        <w:jc w:val="both"/>
        <w:rPr>
          <w:sz w:val="32"/>
          <w:szCs w:val="32"/>
        </w:rPr>
      </w:pPr>
    </w:p>
    <w:p>
      <w:pPr>
        <w:pStyle w:val="10"/>
        <w:jc w:val="both"/>
        <w:rPr>
          <w:sz w:val="32"/>
          <w:szCs w:val="32"/>
        </w:rPr>
      </w:pPr>
    </w:p>
    <w:p>
      <w:pPr>
        <w:pStyle w:val="10"/>
        <w:jc w:val="both"/>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两林乡人民政府</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int="eastAsia" w:hAnsi="仿宋_GB2312"/>
          <w:b/>
          <w:sz w:val="28"/>
          <w:szCs w:val="28"/>
          <w:lang w:eastAsia="zh-CN"/>
        </w:rPr>
        <w:t>2021年</w:t>
      </w:r>
      <w:r>
        <w:rPr>
          <w:rFonts w:hint="eastAsia" w:hAnsi="仿宋_GB2312"/>
          <w:b/>
          <w:sz w:val="28"/>
          <w:szCs w:val="28"/>
        </w:rPr>
        <w:t>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int="eastAsia" w:hAnsi="仿宋_GB2312"/>
          <w:b/>
          <w:sz w:val="28"/>
          <w:szCs w:val="28"/>
          <w:lang w:eastAsia="zh-CN"/>
        </w:rPr>
        <w:t>2021年</w:t>
      </w:r>
      <w:r>
        <w:rPr>
          <w:rFonts w:hint="eastAsia" w:hAnsi="仿宋_GB2312"/>
          <w:b/>
          <w:sz w:val="28"/>
          <w:szCs w:val="28"/>
        </w:rPr>
        <w:t>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两林乡人民政府</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宋体" w:hAnsi="宋体" w:eastAsia="宋体" w:cs="宋体"/>
          <w:kern w:val="0"/>
          <w:sz w:val="32"/>
          <w:szCs w:val="32"/>
        </w:rPr>
      </w:pPr>
      <w:r>
        <w:rPr>
          <w:rFonts w:hint="eastAsia" w:eastAsia="仿宋_GB2312"/>
          <w:kern w:val="0"/>
          <w:sz w:val="32"/>
          <w:szCs w:val="32"/>
          <w:lang w:val="en-US" w:eastAsia="zh-CN"/>
        </w:rPr>
        <w:t xml:space="preserve">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2"/>
          <w:szCs w:val="32"/>
        </w:rPr>
        <w:t>1、促进经济发展。制定实施本乡经济发展规划，发展壮大农村集体经济，大力发展农村个体私营等非公有制经济，推进农村市场经济体系的建设，促进农民增收。</w:t>
      </w:r>
    </w:p>
    <w:p>
      <w:pPr>
        <w:widowControl/>
        <w:spacing w:line="600" w:lineRule="exact"/>
        <w:rPr>
          <w:rFonts w:hint="eastAsia" w:ascii="宋体" w:hAnsi="宋体" w:eastAsia="宋体" w:cs="宋体"/>
          <w:kern w:val="0"/>
          <w:sz w:val="32"/>
          <w:szCs w:val="32"/>
        </w:rPr>
      </w:pPr>
      <w:r>
        <w:rPr>
          <w:rFonts w:hint="eastAsia" w:ascii="宋体" w:hAnsi="宋体" w:eastAsia="宋体" w:cs="宋体"/>
          <w:kern w:val="0"/>
          <w:sz w:val="32"/>
          <w:szCs w:val="32"/>
        </w:rPr>
        <w:t>　　2、加强社会管理。制定实施本乡社会发展规划，负责管理教育、科技、文化、卫生、体育等社会事业和计划生育、民政、城镇管理、村镇建设、道路建设、交通秩序等管理工作，依法指导和帮助社会民间组织健康发展，配合上级有关部门做好安全生产、国土资源管理、环境保护和市场监管等工作，加强对上级部门派驻机构的协调和监督，强化乡镇财政、村级财务和集体资产的监督管理，建立健全减轻农民负担的监督管理机制，完善农村社会救助和保障体系，建立防灾减灾等区域性、突发性事件的处置工作机制。</w:t>
      </w:r>
    </w:p>
    <w:p>
      <w:pPr>
        <w:widowControl/>
        <w:spacing w:line="600" w:lineRule="exact"/>
        <w:rPr>
          <w:rFonts w:hint="eastAsia" w:ascii="宋体" w:hAnsi="宋体" w:eastAsia="宋体" w:cs="宋体"/>
          <w:kern w:val="0"/>
          <w:sz w:val="32"/>
          <w:szCs w:val="32"/>
        </w:rPr>
      </w:pPr>
      <w:r>
        <w:rPr>
          <w:rFonts w:hint="eastAsia" w:ascii="宋体" w:hAnsi="宋体" w:eastAsia="宋体" w:cs="宋体"/>
          <w:kern w:val="0"/>
          <w:sz w:val="32"/>
          <w:szCs w:val="32"/>
        </w:rPr>
        <w:t>　　3、搞好公共服务。加强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pPr>
        <w:widowControl/>
        <w:spacing w:line="600" w:lineRule="exact"/>
        <w:rPr>
          <w:rFonts w:hint="eastAsia" w:ascii="宋体" w:hAnsi="宋体" w:eastAsia="宋体" w:cs="宋体"/>
          <w:kern w:val="0"/>
          <w:sz w:val="32"/>
          <w:szCs w:val="32"/>
        </w:rPr>
      </w:pPr>
      <w:r>
        <w:rPr>
          <w:rFonts w:hint="eastAsia" w:ascii="宋体" w:hAnsi="宋体" w:eastAsia="宋体" w:cs="宋体"/>
          <w:kern w:val="0"/>
          <w:sz w:val="32"/>
          <w:szCs w:val="32"/>
        </w:rPr>
        <w:t>　　4、维护社会稳定。加强社会治安综合治理，综合协调平安建设工作，强化信访、调解工作，化解农村社会矛盾，维护社会秩序；抓好法制宣传和普法教育，增强干部群众的法制意识，保护各种经济组织的合法权益和公民的合法财产，保障公民人身权利、民主权利和其他权利。</w:t>
      </w:r>
    </w:p>
    <w:p>
      <w:pPr>
        <w:jc w:val="left"/>
        <w:rPr>
          <w:rFonts w:hint="eastAsia" w:ascii="宋体" w:hAnsi="宋体" w:eastAsia="宋体" w:cs="宋体"/>
          <w:sz w:val="32"/>
          <w:szCs w:val="32"/>
        </w:rPr>
      </w:pPr>
      <w:r>
        <w:rPr>
          <w:rFonts w:hint="eastAsia" w:ascii="宋体" w:hAnsi="宋体" w:eastAsia="宋体" w:cs="宋体"/>
          <w:kern w:val="0"/>
          <w:sz w:val="32"/>
          <w:szCs w:val="32"/>
        </w:rPr>
        <w:t>5、巩固基层政权。加强党的思想建设、组织建设、作风建设和制度建设，强化乡人大对乡政府的监督，切实加强和改进对村级党组织的领导和对村民委员会的指导，扩大和健全农村基层民主，充分发挥工会、共青团、妇联等群众团体的桥梁纽带作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（一）内设机构设置。根据编委核定，两林乡人民政府全额拨款行政单位，核定编制4</w:t>
      </w:r>
      <w:r>
        <w:rPr>
          <w:rFonts w:hint="eastAsia" w:asciiTheme="minorEastAsia" w:hAnsiTheme="minorEastAsia"/>
          <w:bCs/>
          <w:kern w:val="0"/>
          <w:sz w:val="32"/>
          <w:szCs w:val="32"/>
          <w:lang w:val="en-US" w:eastAsia="zh-CN"/>
        </w:rPr>
        <w:t>8</w:t>
      </w:r>
      <w:r>
        <w:rPr>
          <w:rFonts w:hint="eastAsia" w:asciiTheme="minorEastAsia" w:hAnsiTheme="minorEastAsia"/>
          <w:bCs/>
          <w:kern w:val="0"/>
          <w:sz w:val="32"/>
          <w:szCs w:val="32"/>
        </w:rPr>
        <w:t>人，其中全额编4</w:t>
      </w:r>
      <w:r>
        <w:rPr>
          <w:rFonts w:hint="eastAsia" w:asciiTheme="minorEastAsia" w:hAnsiTheme="minorEastAsia"/>
          <w:bCs/>
          <w:kern w:val="0"/>
          <w:sz w:val="32"/>
          <w:szCs w:val="32"/>
          <w:lang w:val="en-US" w:eastAsia="zh-CN"/>
        </w:rPr>
        <w:t>8</w:t>
      </w:r>
      <w:r>
        <w:rPr>
          <w:rFonts w:hint="eastAsia" w:asciiTheme="minorEastAsia" w:hAnsiTheme="minorEastAsia"/>
          <w:bCs/>
          <w:kern w:val="0"/>
          <w:sz w:val="32"/>
          <w:szCs w:val="32"/>
        </w:rPr>
        <w:t>人，差额编0人，自筹编0人。年末实有</w:t>
      </w:r>
      <w:r>
        <w:rPr>
          <w:rFonts w:hint="eastAsia" w:asciiTheme="minorEastAsia" w:hAnsiTheme="minorEastAsia"/>
          <w:bCs/>
          <w:kern w:val="0"/>
          <w:sz w:val="32"/>
          <w:szCs w:val="32"/>
          <w:lang w:val="en-US" w:eastAsia="zh-CN"/>
        </w:rPr>
        <w:t>38</w:t>
      </w:r>
      <w:r>
        <w:rPr>
          <w:rFonts w:hint="eastAsia" w:asciiTheme="minorEastAsia" w:hAnsiTheme="minorEastAsia"/>
          <w:bCs/>
          <w:kern w:val="0"/>
          <w:sz w:val="32"/>
          <w:szCs w:val="32"/>
        </w:rPr>
        <w:t>人。提前离岗人员1人。离休人员0人，退休人员</w:t>
      </w:r>
      <w:r>
        <w:rPr>
          <w:rFonts w:hint="eastAsia" w:asciiTheme="minorEastAsia" w:hAnsiTheme="minorEastAsia"/>
          <w:bCs/>
          <w:kern w:val="0"/>
          <w:sz w:val="32"/>
          <w:szCs w:val="32"/>
          <w:lang w:val="en-US" w:eastAsia="zh-CN"/>
        </w:rPr>
        <w:t>4</w:t>
      </w:r>
      <w:r>
        <w:rPr>
          <w:rFonts w:hint="eastAsia" w:asciiTheme="minorEastAsia" w:hAnsiTheme="minorEastAsia"/>
          <w:bCs/>
          <w:kern w:val="0"/>
          <w:sz w:val="32"/>
          <w:szCs w:val="32"/>
        </w:rPr>
        <w:t>人。两林乡人民政府内设机构党政办公室、党建办公室、经济发展办公室、社会事务办公室、自然资源和生态环境办公室、社会治安和应急管理办公室；内设设置事业单位分别是社会事务综合服务中心、农业综合服务中心、政务（便民）服务中心、退役军人服务站、综合行政执法大队</w:t>
      </w:r>
      <w:r>
        <w:rPr>
          <w:rFonts w:hint="eastAsia" w:asciiTheme="minorEastAsia" w:hAnsiTheme="minorEastAsia"/>
          <w:bCs/>
          <w:kern w:val="0"/>
          <w:sz w:val="32"/>
          <w:szCs w:val="32"/>
          <w:highlight w:val="none"/>
          <w:lang w:eastAsia="zh-CN"/>
        </w:rPr>
        <w:t>。</w:t>
      </w:r>
      <w:r>
        <w:rPr>
          <w:rFonts w:hint="eastAsia" w:asciiTheme="minorEastAsia" w:hAnsiTheme="minorEastAsia"/>
          <w:bCs/>
          <w:kern w:val="0"/>
          <w:sz w:val="32"/>
          <w:szCs w:val="32"/>
          <w:highlight w:val="none"/>
        </w:rPr>
        <w:t xml:space="preserve">  </w:t>
      </w:r>
      <w:r>
        <w:rPr>
          <w:rFonts w:hint="eastAsia" w:asciiTheme="minorEastAsia" w:hAnsiTheme="minorEastAsia"/>
          <w:bCs/>
          <w:kern w:val="0"/>
          <w:sz w:val="32"/>
          <w:szCs w:val="32"/>
        </w:rPr>
        <w:t xml:space="preserve">   </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两林乡人民政府</w:t>
      </w:r>
      <w:r>
        <w:rPr>
          <w:rFonts w:hint="eastAsia" w:asciiTheme="minorEastAsia" w:hAnsiTheme="minorEastAsia"/>
          <w:bCs/>
          <w:kern w:val="0"/>
          <w:sz w:val="32"/>
          <w:szCs w:val="32"/>
        </w:rPr>
        <w:t>单位</w:t>
      </w:r>
      <w:r>
        <w:rPr>
          <w:rFonts w:hint="eastAsia" w:asciiTheme="minorEastAsia" w:hAnsiTheme="minorEastAsia"/>
          <w:bCs/>
          <w:kern w:val="0"/>
          <w:sz w:val="32"/>
          <w:szCs w:val="32"/>
          <w:lang w:val="en-US" w:eastAsia="zh-CN"/>
        </w:rPr>
        <w:t>2021年</w:t>
      </w:r>
      <w:r>
        <w:rPr>
          <w:rFonts w:hint="eastAsia" w:asciiTheme="minorEastAsia" w:hAnsiTheme="minorEastAsia"/>
          <w:bCs/>
          <w:kern w:val="0"/>
          <w:sz w:val="32"/>
          <w:szCs w:val="32"/>
        </w:rPr>
        <w:t>部门决算汇总公开单位构成包括：</w:t>
      </w:r>
      <w:r>
        <w:rPr>
          <w:rFonts w:hint="eastAsia" w:asciiTheme="minorEastAsia" w:hAnsiTheme="minorEastAsia"/>
          <w:bCs/>
          <w:kern w:val="0"/>
          <w:sz w:val="32"/>
          <w:szCs w:val="32"/>
          <w:lang w:eastAsia="zh-CN"/>
        </w:rPr>
        <w:t>两林乡人民政府</w:t>
      </w:r>
      <w:r>
        <w:rPr>
          <w:rFonts w:hint="eastAsia" w:asciiTheme="minorEastAsia" w:hAnsiTheme="minorEastAsia"/>
          <w:bCs/>
          <w:kern w:val="0"/>
          <w:sz w:val="32"/>
          <w:szCs w:val="32"/>
        </w:rPr>
        <w:t>单位本级。　 </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rFonts w:hint="eastAsia"/>
          <w:sz w:val="72"/>
          <w:szCs w:val="72"/>
        </w:rPr>
      </w:pP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bookmarkStart w:id="0" w:name="_GoBack"/>
      <w:r>
        <w:rPr>
          <w:rFonts w:hint="eastAsia" w:ascii="黑体" w:eastAsia="黑体" w:cs="黑体" w:hAnsiTheme="minorHAnsi"/>
          <w:color w:val="000000"/>
          <w:kern w:val="0"/>
          <w:sz w:val="84"/>
          <w:szCs w:val="84"/>
          <w:lang w:val="en-US" w:eastAsia="zh-CN" w:bidi="ar-SA"/>
        </w:rPr>
        <w:t>第二部分</w:t>
      </w:r>
    </w:p>
    <w:bookmarkEnd w:id="0"/>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r>
        <w:rPr>
          <w:rFonts w:hint="eastAsia" w:ascii="黑体" w:eastAsia="黑体" w:cs="黑体" w:hAnsiTheme="minorHAnsi"/>
          <w:color w:val="000000"/>
          <w:kern w:val="0"/>
          <w:sz w:val="84"/>
          <w:szCs w:val="84"/>
          <w:lang w:val="en-US" w:eastAsia="zh-CN" w:bidi="ar-SA"/>
        </w:rPr>
        <w:t>部门决算表</w:t>
      </w:r>
    </w:p>
    <w:p>
      <w:pPr>
        <w:jc w:val="center"/>
        <w:rPr>
          <w:rFonts w:hint="eastAsia" w:ascii="黑体" w:eastAsia="黑体" w:cs="黑体" w:hAnsiTheme="minorHAnsi"/>
          <w:color w:val="000000"/>
          <w:kern w:val="0"/>
          <w:sz w:val="84"/>
          <w:szCs w:val="84"/>
          <w:lang w:val="en-US" w:eastAsia="zh-CN" w:bidi="ar-SA"/>
        </w:rPr>
      </w:pPr>
    </w:p>
    <w:p>
      <w:pPr>
        <w:jc w:val="center"/>
        <w:rPr>
          <w:rFonts w:hint="eastAsia" w:ascii="黑体" w:eastAsia="黑体" w:cs="黑体" w:hAnsiTheme="minorHAnsi"/>
          <w:color w:val="000000"/>
          <w:kern w:val="0"/>
          <w:sz w:val="84"/>
          <w:szCs w:val="84"/>
          <w:lang w:val="en-US" w:eastAsia="zh-CN" w:bidi="ar-SA"/>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947" w:right="1344" w:bottom="890" w:left="1344" w:header="851" w:footer="992" w:gutter="0"/>
          <w:cols w:space="0" w:num="1"/>
          <w:rtlGutter w:val="0"/>
          <w:docGrid w:type="lines" w:linePitch="312" w:charSpace="0"/>
        </w:sectPr>
      </w:pPr>
    </w:p>
    <w:tbl>
      <w:tblPr>
        <w:tblStyle w:val="6"/>
        <w:tblW w:w="5000" w:type="pct"/>
        <w:tblInd w:w="0" w:type="dxa"/>
        <w:shd w:val="clear" w:color="auto" w:fill="auto"/>
        <w:tblLayout w:type="autofit"/>
        <w:tblCellMar>
          <w:top w:w="0" w:type="dxa"/>
          <w:left w:w="108" w:type="dxa"/>
          <w:bottom w:w="0" w:type="dxa"/>
          <w:right w:w="108" w:type="dxa"/>
        </w:tblCellMar>
      </w:tblPr>
      <w:tblGrid>
        <w:gridCol w:w="3736"/>
        <w:gridCol w:w="656"/>
        <w:gridCol w:w="2313"/>
        <w:gridCol w:w="4268"/>
        <w:gridCol w:w="1372"/>
        <w:gridCol w:w="2226"/>
      </w:tblGrid>
      <w:tr>
        <w:tblPrEx>
          <w:shd w:val="clear" w:color="auto" w:fill="auto"/>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5" w:type="pct"/>
            <w:tcBorders>
              <w:top w:val="nil"/>
              <w:left w:val="nil"/>
              <w:bottom w:val="nil"/>
              <w:right w:val="nil"/>
            </w:tcBorders>
            <w:shd w:val="clear" w:color="auto" w:fill="auto"/>
            <w:noWrap/>
            <w:vAlign w:val="bottom"/>
          </w:tcPr>
          <w:p/>
        </w:tc>
        <w:tc>
          <w:tcPr>
            <w:tcW w:w="793" w:type="pct"/>
            <w:tcBorders>
              <w:top w:val="nil"/>
              <w:left w:val="nil"/>
              <w:bottom w:val="nil"/>
              <w:right w:val="nil"/>
            </w:tcBorders>
            <w:shd w:val="clear" w:color="auto" w:fill="auto"/>
            <w:noWrap/>
            <w:vAlign w:val="bottom"/>
          </w:tcPr>
          <w:p/>
        </w:tc>
        <w:tc>
          <w:tcPr>
            <w:tcW w:w="1465" w:type="pct"/>
            <w:tcBorders>
              <w:top w:val="nil"/>
              <w:left w:val="nil"/>
              <w:bottom w:val="nil"/>
              <w:right w:val="nil"/>
            </w:tcBorders>
            <w:shd w:val="clear" w:color="auto" w:fill="auto"/>
            <w:noWrap/>
            <w:vAlign w:val="bottom"/>
          </w:tcPr>
          <w:p/>
        </w:tc>
        <w:tc>
          <w:tcPr>
            <w:tcW w:w="471" w:type="pct"/>
            <w:tcBorders>
              <w:top w:val="nil"/>
              <w:left w:val="nil"/>
              <w:bottom w:val="nil"/>
              <w:right w:val="nil"/>
            </w:tcBorders>
            <w:shd w:val="clear" w:color="auto" w:fill="auto"/>
            <w:noWrap/>
            <w:vAlign w:val="bottom"/>
          </w:tcPr>
          <w:p/>
        </w:tc>
        <w:tc>
          <w:tcPr>
            <w:tcW w:w="76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225" w:type="pct"/>
            <w:tcBorders>
              <w:top w:val="nil"/>
              <w:left w:val="nil"/>
              <w:bottom w:val="nil"/>
              <w:right w:val="nil"/>
            </w:tcBorders>
            <w:shd w:val="clear" w:color="auto" w:fill="auto"/>
            <w:noWrap/>
            <w:vAlign w:val="bottom"/>
          </w:tcPr>
          <w:p/>
        </w:tc>
        <w:tc>
          <w:tcPr>
            <w:tcW w:w="793" w:type="pct"/>
            <w:tcBorders>
              <w:top w:val="nil"/>
              <w:left w:val="nil"/>
              <w:bottom w:val="nil"/>
              <w:right w:val="nil"/>
            </w:tcBorders>
            <w:shd w:val="clear" w:color="auto" w:fill="auto"/>
            <w:noWrap/>
            <w:vAlign w:val="bottom"/>
          </w:tcPr>
          <w:p/>
        </w:tc>
        <w:tc>
          <w:tcPr>
            <w:tcW w:w="1465" w:type="pct"/>
            <w:tcBorders>
              <w:top w:val="nil"/>
              <w:left w:val="nil"/>
              <w:bottom w:val="nil"/>
              <w:right w:val="nil"/>
            </w:tcBorders>
            <w:shd w:val="clear" w:color="auto" w:fill="auto"/>
            <w:noWrap/>
            <w:vAlign w:val="bottom"/>
          </w:tcPr>
          <w:p/>
        </w:tc>
        <w:tc>
          <w:tcPr>
            <w:tcW w:w="471" w:type="pct"/>
            <w:tcBorders>
              <w:top w:val="nil"/>
              <w:left w:val="nil"/>
              <w:bottom w:val="nil"/>
              <w:right w:val="nil"/>
            </w:tcBorders>
            <w:shd w:val="clear" w:color="auto" w:fill="auto"/>
            <w:noWrap/>
            <w:vAlign w:val="bottom"/>
          </w:tcPr>
          <w:p/>
        </w:tc>
        <w:tc>
          <w:tcPr>
            <w:tcW w:w="76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90" w:hRule="atLeast"/>
        </w:trPr>
        <w:tc>
          <w:tcPr>
            <w:tcW w:w="23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收入</w:t>
            </w:r>
          </w:p>
        </w:tc>
        <w:tc>
          <w:tcPr>
            <w:tcW w:w="269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项目</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行次</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栏次</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jc w:val="center"/>
            </w:pP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1,181.01</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一、一般公共服务支出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32</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348.88</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二、外交支出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33</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三、国防支出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34</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四、公共安全支出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35</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13.44</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五、教育支出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36</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47"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六、科学技术支出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37</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7</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38</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5.13</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9.52</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39</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53.05</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9</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九、卫生健康支出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40</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23.36</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十、节能环保支出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41</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11</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十一、城乡社区支出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42</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25.83</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12</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十二、农林水支出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43</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738.53</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13</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十三、交通运输支出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44</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14</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45</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15</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46</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16</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十六、金融支出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47</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17</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48</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18</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49</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19</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十九、住房保障支出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50</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31.99</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20</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51</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21</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52</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22</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53</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23</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二十三、其他支出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54</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24</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二十四、债务还本支出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55</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25</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二十五、债务付息支出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56</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26</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57</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27</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1,190.53</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本年支出合计</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58</w:t>
            </w:r>
          </w:p>
        </w:tc>
        <w:tc>
          <w:tcPr>
            <w:tcW w:w="7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1,245.21</w:t>
            </w:r>
          </w:p>
        </w:tc>
      </w:tr>
      <w:tr>
        <w:tblPrEx>
          <w:shd w:val="clear" w:color="auto" w:fill="auto"/>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结余分配</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59</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29</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54.69</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年末结转和结余</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60</w:t>
            </w:r>
          </w:p>
        </w:tc>
        <w:tc>
          <w:tcPr>
            <w:tcW w:w="761" w:type="pct"/>
            <w:tcBorders>
              <w:top w:val="nil"/>
              <w:left w:val="nil"/>
              <w:bottom w:val="single" w:color="000000" w:sz="4" w:space="0"/>
              <w:right w:val="single" w:color="000000" w:sz="4" w:space="0"/>
            </w:tcBorders>
            <w:shd w:val="clear" w:color="FFFFFF" w:fill="C0C0C0"/>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61</w:t>
            </w:r>
          </w:p>
        </w:tc>
        <w:tc>
          <w:tcPr>
            <w:tcW w:w="76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12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2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31</w:t>
            </w:r>
          </w:p>
        </w:tc>
        <w:tc>
          <w:tcPr>
            <w:tcW w:w="79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1,245.21</w:t>
            </w:r>
          </w:p>
        </w:tc>
        <w:tc>
          <w:tcPr>
            <w:tcW w:w="146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总计</w:t>
            </w:r>
          </w:p>
        </w:tc>
        <w:tc>
          <w:tcPr>
            <w:tcW w:w="4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62</w:t>
            </w:r>
          </w:p>
        </w:tc>
        <w:tc>
          <w:tcPr>
            <w:tcW w:w="76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1,245.21</w:t>
            </w:r>
          </w:p>
        </w:tc>
      </w:tr>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rFonts w:hint="eastAsia" w:ascii="黑体" w:hAnsi="黑体" w:eastAsia="黑体"/>
          <w:sz w:val="28"/>
          <w:szCs w:val="28"/>
          <w:lang w:eastAsia="zh-CN"/>
        </w:rPr>
        <w:sectPr>
          <w:pgSz w:w="16838" w:h="11906" w:orient="landscape"/>
          <w:pgMar w:top="567" w:right="1440" w:bottom="567" w:left="1043" w:header="851" w:footer="992" w:gutter="0"/>
          <w:cols w:space="425" w:num="1"/>
          <w:docGrid w:type="linesAndChars" w:linePitch="312" w:charSpace="0"/>
        </w:sectPr>
      </w:pPr>
    </w:p>
    <w:tbl>
      <w:tblPr>
        <w:tblStyle w:val="6"/>
        <w:tblW w:w="5000" w:type="pct"/>
        <w:tblInd w:w="0" w:type="dxa"/>
        <w:shd w:val="clear" w:color="auto" w:fill="auto"/>
        <w:tblLayout w:type="fixed"/>
        <w:tblCellMar>
          <w:top w:w="0" w:type="dxa"/>
          <w:left w:w="108" w:type="dxa"/>
          <w:bottom w:w="0" w:type="dxa"/>
          <w:right w:w="108" w:type="dxa"/>
        </w:tblCellMar>
      </w:tblPr>
      <w:tblGrid>
        <w:gridCol w:w="2722"/>
        <w:gridCol w:w="240"/>
        <w:gridCol w:w="525"/>
        <w:gridCol w:w="4635"/>
        <w:gridCol w:w="1695"/>
        <w:gridCol w:w="1155"/>
        <w:gridCol w:w="975"/>
        <w:gridCol w:w="825"/>
        <w:gridCol w:w="735"/>
        <w:gridCol w:w="1275"/>
        <w:gridCol w:w="832"/>
      </w:tblGrid>
      <w:tr>
        <w:tblPrEx>
          <w:shd w:val="clear" w:color="auto" w:fill="auto"/>
          <w:tblCellMar>
            <w:top w:w="0" w:type="dxa"/>
            <w:left w:w="108" w:type="dxa"/>
            <w:bottom w:w="0" w:type="dxa"/>
            <w:right w:w="108" w:type="dxa"/>
          </w:tblCellMar>
        </w:tblPrEx>
        <w:trPr>
          <w:trHeight w:val="369"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auto"/>
          <w:tblCellMar>
            <w:top w:w="0" w:type="dxa"/>
            <w:left w:w="108" w:type="dxa"/>
            <w:bottom w:w="0" w:type="dxa"/>
            <w:right w:w="108" w:type="dxa"/>
          </w:tblCellMar>
        </w:tblPrEx>
        <w:trPr>
          <w:trHeight w:val="255" w:hRule="atLeast"/>
        </w:trPr>
        <w:tc>
          <w:tcPr>
            <w:tcW w:w="87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 w:type="pct"/>
            <w:tcBorders>
              <w:top w:val="nil"/>
              <w:left w:val="nil"/>
              <w:bottom w:val="nil"/>
              <w:right w:val="nil"/>
            </w:tcBorders>
            <w:shd w:val="clear" w:color="auto" w:fill="auto"/>
            <w:noWrap/>
            <w:vAlign w:val="bottom"/>
          </w:tcPr>
          <w:p/>
        </w:tc>
        <w:tc>
          <w:tcPr>
            <w:tcW w:w="1484" w:type="pct"/>
            <w:tcBorders>
              <w:top w:val="nil"/>
              <w:left w:val="nil"/>
              <w:bottom w:val="nil"/>
              <w:right w:val="nil"/>
            </w:tcBorders>
            <w:shd w:val="clear" w:color="auto" w:fill="auto"/>
            <w:noWrap/>
            <w:vAlign w:val="bottom"/>
          </w:tc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2" w:type="pct"/>
            <w:tcBorders>
              <w:top w:val="nil"/>
              <w:left w:val="nil"/>
              <w:bottom w:val="nil"/>
              <w:right w:val="nil"/>
            </w:tcBorders>
            <w:shd w:val="clear" w:color="auto" w:fill="auto"/>
            <w:noWrap/>
            <w:vAlign w:val="bottom"/>
          </w:tcPr>
          <w:p/>
        </w:tc>
        <w:tc>
          <w:tcPr>
            <w:tcW w:w="264" w:type="pct"/>
            <w:tcBorders>
              <w:top w:val="nil"/>
              <w:left w:val="nil"/>
              <w:bottom w:val="nil"/>
              <w:right w:val="nil"/>
            </w:tcBorders>
            <w:shd w:val="clear" w:color="auto" w:fill="auto"/>
            <w:noWrap/>
            <w:vAlign w:val="bottom"/>
          </w:tcPr>
          <w:p/>
        </w:tc>
        <w:tc>
          <w:tcPr>
            <w:tcW w:w="235" w:type="pct"/>
            <w:tcBorders>
              <w:top w:val="nil"/>
              <w:left w:val="nil"/>
              <w:bottom w:val="nil"/>
              <w:right w:val="nil"/>
            </w:tcBorders>
            <w:shd w:val="clear" w:color="auto" w:fill="auto"/>
            <w:noWrap/>
            <w:vAlign w:val="bottom"/>
          </w:tcPr>
          <w:p/>
        </w:tc>
        <w:tc>
          <w:tcPr>
            <w:tcW w:w="674"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55" w:hRule="atLeast"/>
        </w:trPr>
        <w:tc>
          <w:tcPr>
            <w:tcW w:w="87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76" w:type="pct"/>
            <w:tcBorders>
              <w:top w:val="nil"/>
              <w:left w:val="nil"/>
              <w:bottom w:val="nil"/>
              <w:right w:val="nil"/>
            </w:tcBorders>
            <w:shd w:val="clear" w:color="auto" w:fill="auto"/>
            <w:noWrap/>
            <w:vAlign w:val="bottom"/>
          </w:tcPr>
          <w:p/>
        </w:tc>
        <w:tc>
          <w:tcPr>
            <w:tcW w:w="168" w:type="pct"/>
            <w:tcBorders>
              <w:top w:val="nil"/>
              <w:left w:val="nil"/>
              <w:bottom w:val="nil"/>
              <w:right w:val="nil"/>
            </w:tcBorders>
            <w:shd w:val="clear" w:color="auto" w:fill="auto"/>
            <w:noWrap/>
            <w:vAlign w:val="bottom"/>
          </w:tcPr>
          <w:p/>
        </w:tc>
        <w:tc>
          <w:tcPr>
            <w:tcW w:w="1484" w:type="pct"/>
            <w:tcBorders>
              <w:top w:val="nil"/>
              <w:left w:val="nil"/>
              <w:bottom w:val="nil"/>
              <w:right w:val="nil"/>
            </w:tcBorders>
            <w:shd w:val="clear" w:color="auto" w:fill="auto"/>
            <w:noWrap/>
            <w:vAlign w:val="bottom"/>
          </w:tcPr>
          <w:p/>
        </w:tc>
        <w:tc>
          <w:tcPr>
            <w:tcW w:w="542" w:type="pct"/>
            <w:tcBorders>
              <w:top w:val="nil"/>
              <w:left w:val="nil"/>
              <w:bottom w:val="nil"/>
              <w:right w:val="nil"/>
            </w:tcBorders>
            <w:shd w:val="clear" w:color="auto" w:fill="auto"/>
            <w:noWrap/>
            <w:vAlign w:val="bottom"/>
          </w:tcPr>
          <w:p/>
        </w:tc>
        <w:tc>
          <w:tcPr>
            <w:tcW w:w="369" w:type="pct"/>
            <w:tcBorders>
              <w:top w:val="nil"/>
              <w:left w:val="nil"/>
              <w:bottom w:val="nil"/>
              <w:right w:val="nil"/>
            </w:tcBorders>
            <w:shd w:val="clear" w:color="auto" w:fill="auto"/>
            <w:noWrap/>
            <w:vAlign w:val="bottom"/>
          </w:tcPr>
          <w:p/>
        </w:tc>
        <w:tc>
          <w:tcPr>
            <w:tcW w:w="312" w:type="pct"/>
            <w:tcBorders>
              <w:top w:val="nil"/>
              <w:left w:val="nil"/>
              <w:bottom w:val="nil"/>
              <w:right w:val="nil"/>
            </w:tcBorders>
            <w:shd w:val="clear" w:color="auto" w:fill="auto"/>
            <w:noWrap/>
            <w:vAlign w:val="bottom"/>
          </w:tcPr>
          <w:p/>
        </w:tc>
        <w:tc>
          <w:tcPr>
            <w:tcW w:w="264" w:type="pct"/>
            <w:tcBorders>
              <w:top w:val="nil"/>
              <w:left w:val="nil"/>
              <w:bottom w:val="nil"/>
              <w:right w:val="nil"/>
            </w:tcBorders>
            <w:shd w:val="clear" w:color="auto" w:fill="auto"/>
            <w:noWrap/>
            <w:vAlign w:val="bottom"/>
          </w:tcPr>
          <w:p/>
        </w:tc>
        <w:tc>
          <w:tcPr>
            <w:tcW w:w="235" w:type="pct"/>
            <w:tcBorders>
              <w:top w:val="nil"/>
              <w:left w:val="nil"/>
              <w:bottom w:val="nil"/>
              <w:right w:val="nil"/>
            </w:tcBorders>
            <w:shd w:val="clear" w:color="auto" w:fill="auto"/>
            <w:noWrap/>
            <w:vAlign w:val="bottom"/>
          </w:tcPr>
          <w:p/>
        </w:tc>
        <w:tc>
          <w:tcPr>
            <w:tcW w:w="674"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260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2"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财政拨款收入</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上级补助收入</w:t>
            </w:r>
          </w:p>
        </w:tc>
        <w:tc>
          <w:tcPr>
            <w:tcW w:w="264"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事业收入</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经营收入</w:t>
            </w:r>
          </w:p>
        </w:tc>
        <w:tc>
          <w:tcPr>
            <w:tcW w:w="40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6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84"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54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69"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312"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64"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235" w:type="pct"/>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40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2600" w:type="pct"/>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31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6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2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408" w:type="pc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66" w:type="pc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255" w:hRule="atLeast"/>
        </w:trPr>
        <w:tc>
          <w:tcPr>
            <w:tcW w:w="2600" w:type="pct"/>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1,190.53</w:t>
            </w:r>
          </w:p>
        </w:tc>
        <w:tc>
          <w:tcPr>
            <w:tcW w:w="3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1,181.01</w:t>
            </w:r>
          </w:p>
        </w:tc>
        <w:tc>
          <w:tcPr>
            <w:tcW w:w="312" w:type="pct"/>
            <w:tcBorders>
              <w:top w:val="nil"/>
              <w:left w:val="nil"/>
              <w:bottom w:val="single" w:color="000000" w:sz="4" w:space="0"/>
              <w:right w:val="single" w:color="000000" w:sz="4" w:space="0"/>
            </w:tcBorders>
            <w:shd w:val="clear" w:color="FFFFFF" w:fill="C0C0C0"/>
            <w:noWrap/>
            <w:vAlign w:val="center"/>
          </w:tcPr>
          <w:p>
            <w:pPr>
              <w:jc w:val="right"/>
            </w:pPr>
          </w:p>
        </w:tc>
        <w:tc>
          <w:tcPr>
            <w:tcW w:w="264" w:type="pct"/>
            <w:tcBorders>
              <w:top w:val="nil"/>
              <w:left w:val="nil"/>
              <w:bottom w:val="single" w:color="000000" w:sz="4" w:space="0"/>
              <w:right w:val="single" w:color="000000" w:sz="4" w:space="0"/>
            </w:tcBorders>
            <w:shd w:val="clear" w:color="FFFFFF" w:fill="C0C0C0"/>
            <w:noWrap/>
            <w:vAlign w:val="center"/>
          </w:tcPr>
          <w:p>
            <w:pPr>
              <w:jc w:val="right"/>
            </w:pPr>
          </w:p>
        </w:tc>
        <w:tc>
          <w:tcPr>
            <w:tcW w:w="235" w:type="pct"/>
            <w:tcBorders>
              <w:top w:val="nil"/>
              <w:left w:val="nil"/>
              <w:bottom w:val="single" w:color="000000" w:sz="4" w:space="0"/>
              <w:right w:val="single" w:color="000000" w:sz="4" w:space="0"/>
            </w:tcBorders>
            <w:shd w:val="clear" w:color="FFFFFF" w:fill="C0C0C0"/>
            <w:noWrap/>
            <w:vAlign w:val="center"/>
          </w:tcPr>
          <w:p>
            <w:pPr>
              <w:jc w:val="right"/>
            </w:pPr>
          </w:p>
        </w:tc>
        <w:tc>
          <w:tcPr>
            <w:tcW w:w="408" w:type="pct"/>
            <w:tcBorders>
              <w:top w:val="single" w:color="000000" w:sz="4" w:space="0"/>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000000"/>
                <w:sz w:val="22"/>
                <w:szCs w:val="22"/>
                <w:u w:val="none"/>
              </w:rPr>
            </w:pPr>
          </w:p>
        </w:tc>
        <w:tc>
          <w:tcPr>
            <w:tcW w:w="266" w:type="pc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9.52</w:t>
            </w: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5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348.88</w:t>
            </w:r>
          </w:p>
        </w:tc>
        <w:tc>
          <w:tcPr>
            <w:tcW w:w="36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339.36</w:t>
            </w:r>
          </w:p>
        </w:tc>
        <w:tc>
          <w:tcPr>
            <w:tcW w:w="312"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08" w:type="pct"/>
            <w:tcBorders>
              <w:top w:val="nil"/>
              <w:left w:val="nil"/>
              <w:bottom w:val="single" w:color="000000" w:sz="4" w:space="0"/>
              <w:right w:val="single" w:color="000000" w:sz="4" w:space="0"/>
            </w:tcBorders>
            <w:shd w:val="clear" w:color="FFFFFF" w:fill="C0C0C0"/>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14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人大事务</w:t>
            </w:r>
          </w:p>
        </w:tc>
        <w:tc>
          <w:tcPr>
            <w:tcW w:w="54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6.30</w:t>
            </w:r>
          </w:p>
        </w:tc>
        <w:tc>
          <w:tcPr>
            <w:tcW w:w="36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6.30</w:t>
            </w:r>
          </w:p>
        </w:tc>
        <w:tc>
          <w:tcPr>
            <w:tcW w:w="312"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64"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235" w:type="pct"/>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6.30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303.53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294.01</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284.01</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369" w:type="pct"/>
            <w:tcBorders>
              <w:top w:val="nil"/>
              <w:left w:val="nil"/>
              <w:bottom w:val="single" w:color="000000" w:sz="4" w:space="0"/>
              <w:right w:val="single" w:color="000000" w:sz="4" w:space="0"/>
            </w:tcBorders>
            <w:shd w:val="clear" w:color="auto" w:fill="auto"/>
            <w:noWrap/>
            <w:vAlign w:val="center"/>
          </w:tcPr>
          <w:p>
            <w:pPr>
              <w:jc w:val="right"/>
            </w:pP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26.82</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26.82</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14.12</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12.69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12.24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12.24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公共安全支出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13.44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司法</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13.44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13.44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5.13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广播电视</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5.13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5.13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53.05</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51.78</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51.78</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41.78</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1.27</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1.27</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23.36</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计划生育事务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4.15</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4.15</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19.21</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19.21</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节能环保支出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自然生态保护</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城乡社区支出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21.83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城乡社区管理事务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21.83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21.83</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21.83</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农林水支出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687.84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687.84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农业农村</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115.05</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115.05</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35.40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79.65</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林业和草原</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5.34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事业机构</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5.34</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扶贫</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315.36</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315.36</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33.30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266.06</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266.06</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16.00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农村综合改革</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244.09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244.09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其他农林水支出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8.00</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31.99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31.99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1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48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31.99</w:t>
            </w:r>
          </w:p>
        </w:tc>
        <w:tc>
          <w:tcPr>
            <w:tcW w:w="312" w:type="pct"/>
            <w:tcBorders>
              <w:top w:val="nil"/>
              <w:left w:val="nil"/>
              <w:bottom w:val="single" w:color="000000" w:sz="4" w:space="0"/>
              <w:right w:val="single" w:color="000000" w:sz="4" w:space="0"/>
            </w:tcBorders>
            <w:shd w:val="clear" w:color="auto" w:fill="auto"/>
            <w:noWrap/>
            <w:vAlign w:val="center"/>
          </w:tcPr>
          <w:p>
            <w:pPr>
              <w:jc w:val="right"/>
            </w:pPr>
          </w:p>
        </w:tc>
        <w:tc>
          <w:tcPr>
            <w:tcW w:w="264" w:type="pct"/>
            <w:tcBorders>
              <w:top w:val="nil"/>
              <w:left w:val="nil"/>
              <w:bottom w:val="single" w:color="000000" w:sz="4" w:space="0"/>
              <w:right w:val="single" w:color="000000" w:sz="4" w:space="0"/>
            </w:tcBorders>
            <w:shd w:val="clear" w:color="auto" w:fill="auto"/>
            <w:noWrap/>
            <w:vAlign w:val="center"/>
          </w:tcPr>
          <w:p>
            <w:pPr>
              <w:jc w:val="right"/>
            </w:pPr>
          </w:p>
        </w:tc>
        <w:tc>
          <w:tcPr>
            <w:tcW w:w="235" w:type="pct"/>
            <w:tcBorders>
              <w:top w:val="nil"/>
              <w:left w:val="nil"/>
              <w:bottom w:val="single" w:color="000000" w:sz="4" w:space="0"/>
              <w:right w:val="single" w:color="000000" w:sz="4" w:space="0"/>
            </w:tcBorders>
            <w:shd w:val="clear" w:color="auto" w:fill="auto"/>
            <w:noWrap/>
            <w:vAlign w:val="center"/>
          </w:tcPr>
          <w:p>
            <w:pPr>
              <w:jc w:val="right"/>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5000" w:type="pct"/>
            <w:gridSpan w:val="11"/>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616"/>
        <w:gridCol w:w="1604"/>
        <w:gridCol w:w="1345"/>
        <w:gridCol w:w="1346"/>
        <w:gridCol w:w="824"/>
        <w:gridCol w:w="824"/>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3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3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6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6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7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6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1,245.21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783.93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461.29</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326.18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303.53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293.53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26.82</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51.78</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738.53</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421.45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115.05</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346.75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346.75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297.45</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297.45</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4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38"/>
        <w:gridCol w:w="543"/>
        <w:gridCol w:w="1505"/>
        <w:gridCol w:w="3888"/>
        <w:gridCol w:w="543"/>
        <w:gridCol w:w="1187"/>
        <w:gridCol w:w="1502"/>
        <w:gridCol w:w="1149"/>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0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110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1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5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42"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0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8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4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8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8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9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0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8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4"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4"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1,181.01</w:t>
            </w: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339.36</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339.36</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738.53</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738.53</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1,181.01</w:t>
            </w: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1,235.70</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1,235.70</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54.69</w:t>
            </w: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54.69</w:t>
            </w:r>
          </w:p>
        </w:tc>
        <w:tc>
          <w:tcPr>
            <w:tcW w:w="124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1,235.70</w:t>
            </w:r>
          </w:p>
        </w:tc>
        <w:tc>
          <w:tcPr>
            <w:tcW w:w="12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1,235.70</w:t>
            </w:r>
          </w:p>
        </w:tc>
        <w:tc>
          <w:tcPr>
            <w:tcW w:w="4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1,235.70</w:t>
            </w:r>
          </w:p>
        </w:tc>
        <w:tc>
          <w:tcPr>
            <w:tcW w:w="3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5"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9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7"/>
        <w:gridCol w:w="2938"/>
        <w:gridCol w:w="231"/>
        <w:gridCol w:w="225"/>
        <w:gridCol w:w="281"/>
        <w:gridCol w:w="1140"/>
        <w:gridCol w:w="1125"/>
        <w:gridCol w:w="1661"/>
        <w:gridCol w:w="694"/>
        <w:gridCol w:w="1008"/>
        <w:gridCol w:w="117"/>
        <w:gridCol w:w="1215"/>
        <w:gridCol w:w="670"/>
        <w:gridCol w:w="2120"/>
        <w:gridCol w:w="120"/>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90" w:hRule="atLeast"/>
        </w:trPr>
        <w:tc>
          <w:tcPr>
            <w:tcW w:w="4675" w:type="pct"/>
            <w:gridSpan w:val="1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255" w:hRule="atLeast"/>
        </w:trPr>
        <w:tc>
          <w:tcPr>
            <w:tcW w:w="1317" w:type="pct"/>
            <w:gridSpan w:val="2"/>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41"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255" w:hRule="atLeast"/>
        </w:trPr>
        <w:tc>
          <w:tcPr>
            <w:tcW w:w="1317" w:type="pct"/>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7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41"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2810" w:type="pct"/>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64"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47" w:type="pct"/>
            <w:gridSpan w:val="4"/>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45"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41" w:type="pct"/>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277" w:hRule="atLeast"/>
        </w:trPr>
        <w:tc>
          <w:tcPr>
            <w:tcW w:w="1463" w:type="pct"/>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7" w:type="pct"/>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5"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1" w:type="pct"/>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7" w:type="pct"/>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5"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1" w:type="pct"/>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2810" w:type="pct"/>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5"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2810" w:type="pct"/>
            <w:gridSpan w:val="8"/>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1,235.70</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774.41</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339.36</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316.66</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294.01</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284.01</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26.82</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53.05</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51.78</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51.78</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738.53</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115.05</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346.75</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297.45</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256.09</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232.09</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256.09</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232.09</w:t>
            </w: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641" w:type="pct"/>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146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347"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45"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4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6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24" w:type="pct"/>
          <w:trHeight w:val="308" w:hRule="atLeast"/>
        </w:trPr>
        <w:tc>
          <w:tcPr>
            <w:tcW w:w="4675" w:type="pct"/>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7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176" w:type="pct"/>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4"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7" w:type="pct"/>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2279" w:type="pct"/>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754"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7" w:type="pct"/>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18" w:type="pct"/>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081" w:type="pct"/>
            <w:gridSpan w:val="10"/>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176" w:type="pct"/>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754"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0"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8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931" w:type="pct"/>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6" w:type="pct"/>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4"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1" w:type="pct"/>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385.27</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136.10</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127.64</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95.02</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41.78</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31.99</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253.03</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194.03</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w:t>
            </w: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931"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6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18.66</w:t>
            </w:r>
          </w:p>
        </w:tc>
        <w:tc>
          <w:tcPr>
            <w:tcW w:w="38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1" w:type="pct"/>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176" w:type="pct"/>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1" w:type="pct"/>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76" w:type="pct"/>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754"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60"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31" w:type="pct"/>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3" w:type="pct"/>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w:t>
            </w:r>
          </w:p>
        </w:tc>
        <w:tc>
          <w:tcPr>
            <w:tcW w:w="2795" w:type="pct"/>
            <w:gridSpan w:val="9"/>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2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1265"/>
        <w:gridCol w:w="1018"/>
        <w:gridCol w:w="1018"/>
        <w:gridCol w:w="1019"/>
        <w:gridCol w:w="1272"/>
        <w:gridCol w:w="1266"/>
        <w:gridCol w:w="1266"/>
        <w:gridCol w:w="1019"/>
        <w:gridCol w:w="1019"/>
        <w:gridCol w:w="1019"/>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83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76"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23"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3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11"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11"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7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3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7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7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91"/>
        <w:gridCol w:w="306"/>
        <w:gridCol w:w="309"/>
        <w:gridCol w:w="1515"/>
        <w:gridCol w:w="1461"/>
        <w:gridCol w:w="1461"/>
        <w:gridCol w:w="1461"/>
        <w:gridCol w:w="1461"/>
        <w:gridCol w:w="1462"/>
        <w:gridCol w:w="2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124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0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3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pStyle w:val="10"/>
        <w:rPr>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11"/>
        <w:gridCol w:w="425"/>
        <w:gridCol w:w="428"/>
        <w:gridCol w:w="2105"/>
        <w:gridCol w:w="2033"/>
        <w:gridCol w:w="2033"/>
        <w:gridCol w:w="3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3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1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173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部门：凤凰县两林乡人民政府</w:t>
            </w:r>
          </w:p>
        </w:tc>
        <w:tc>
          <w:tcPr>
            <w:tcW w:w="1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1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31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67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rFonts w:hint="default"/>
          <w:sz w:val="72"/>
          <w:szCs w:val="72"/>
          <w:lang w:val="en-US" w:eastAsia="zh-CN"/>
        </w:rPr>
      </w:pPr>
      <w:r>
        <w:rPr>
          <w:rFonts w:hint="eastAsia"/>
          <w:sz w:val="72"/>
          <w:szCs w:val="72"/>
          <w:lang w:val="en-US" w:eastAsia="zh-CN"/>
        </w:rPr>
        <w:t xml:space="preserve">   </w:t>
      </w: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rFonts w:hint="eastAsia"/>
          <w:sz w:val="70"/>
          <w:szCs w:val="70"/>
          <w:lang w:eastAsia="zh-CN"/>
        </w:rPr>
        <w:t>2021年</w:t>
      </w:r>
      <w:r>
        <w:rPr>
          <w:rFonts w:hint="eastAsia"/>
          <w:sz w:val="70"/>
          <w:szCs w:val="70"/>
        </w:rPr>
        <w:t>度部门决算情况说明</w:t>
      </w:r>
    </w:p>
    <w:p>
      <w:pPr>
        <w:widowControl/>
        <w:jc w:val="left"/>
        <w:rPr>
          <w:rFonts w:asciiTheme="minorEastAsia" w:hAnsiTheme="minorEastAsia" w:eastAsia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highlight w:val="yellow"/>
          <w:lang w:val="en-US" w:eastAsia="zh-CN"/>
        </w:rPr>
      </w:pP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度收</w:t>
      </w:r>
      <w:r>
        <w:rPr>
          <w:rFonts w:hint="eastAsia" w:asciiTheme="minorEastAsia" w:hAnsiTheme="minorEastAsia" w:eastAsiaTheme="minorEastAsia"/>
          <w:sz w:val="32"/>
          <w:szCs w:val="32"/>
          <w:lang w:eastAsia="zh-CN"/>
        </w:rPr>
        <w:t>入合计1190.53万元，</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2020年1380.52</w:t>
      </w:r>
      <w:r>
        <w:rPr>
          <w:rFonts w:hint="eastAsia" w:asciiTheme="minorEastAsia" w:hAnsiTheme="minorEastAsia" w:eastAsiaTheme="minorEastAsia"/>
          <w:sz w:val="32"/>
          <w:szCs w:val="32"/>
        </w:rPr>
        <w:t>万元相比，</w:t>
      </w:r>
      <w:r>
        <w:rPr>
          <w:rFonts w:hint="eastAsia" w:asciiTheme="minorEastAsia" w:hAnsiTheme="minorEastAsia" w:eastAsiaTheme="minorEastAsia"/>
          <w:sz w:val="32"/>
          <w:szCs w:val="32"/>
          <w:lang w:eastAsia="zh-CN"/>
        </w:rPr>
        <w:t>收入减少</w:t>
      </w:r>
      <w:r>
        <w:rPr>
          <w:rFonts w:hint="eastAsia" w:asciiTheme="minorEastAsia" w:hAnsiTheme="minorEastAsia" w:eastAsiaTheme="minorEastAsia"/>
          <w:sz w:val="32"/>
          <w:szCs w:val="32"/>
          <w:lang w:val="en-US" w:eastAsia="zh-CN"/>
        </w:rPr>
        <w:t>189.99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13.76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，主要是因为扶贫项目的投入以及土地增减挂钩工作经费拨入。支出合计</w:t>
      </w:r>
      <w:r>
        <w:rPr>
          <w:rFonts w:hint="eastAsia" w:asciiTheme="minorEastAsia" w:hAnsiTheme="minorEastAsia" w:eastAsiaTheme="minorEastAsia"/>
          <w:sz w:val="32"/>
          <w:szCs w:val="32"/>
          <w:lang w:val="en-US" w:eastAsia="zh-CN"/>
        </w:rPr>
        <w:t>1245.21万元，</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2020年1482.11万元</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支出减少</w:t>
      </w:r>
      <w:r>
        <w:rPr>
          <w:rFonts w:hint="eastAsia" w:asciiTheme="minorEastAsia" w:hAnsiTheme="minorEastAsia" w:eastAsiaTheme="minorEastAsia"/>
          <w:sz w:val="32"/>
          <w:szCs w:val="32"/>
          <w:lang w:val="en-US" w:eastAsia="zh-CN"/>
        </w:rPr>
        <w:t>236.9万元，下降15.98%，主要是因为</w:t>
      </w:r>
      <w:r>
        <w:rPr>
          <w:rFonts w:hint="eastAsia" w:asciiTheme="minorEastAsia" w:hAnsiTheme="minorEastAsia" w:eastAsiaTheme="minorEastAsia"/>
          <w:sz w:val="32"/>
          <w:szCs w:val="32"/>
          <w:lang w:eastAsia="zh-CN"/>
        </w:rPr>
        <w:t>扶贫项目的支出以及土地增减挂钩工作经费支出。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1190.53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1181.01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9.52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1245.21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783.93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62.96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461.29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37.04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2021年</w:t>
      </w:r>
      <w:r>
        <w:rPr>
          <w:rFonts w:hint="eastAsia" w:asciiTheme="minorEastAsia" w:hAnsiTheme="minorEastAsia" w:eastAsiaTheme="minorEastAsia"/>
          <w:sz w:val="32"/>
          <w:szCs w:val="32"/>
        </w:rPr>
        <w:t>度财政拨款收</w:t>
      </w:r>
      <w:r>
        <w:rPr>
          <w:rFonts w:hint="eastAsia" w:asciiTheme="minorEastAsia" w:hAnsiTheme="minorEastAsia" w:eastAsiaTheme="minorEastAsia"/>
          <w:sz w:val="32"/>
          <w:szCs w:val="32"/>
          <w:lang w:eastAsia="zh-CN"/>
        </w:rPr>
        <w:t>入合</w:t>
      </w:r>
      <w:r>
        <w:rPr>
          <w:rFonts w:hint="eastAsia" w:asciiTheme="minorEastAsia" w:hAnsiTheme="minorEastAsia" w:eastAsiaTheme="minorEastAsia"/>
          <w:sz w:val="32"/>
          <w:szCs w:val="32"/>
        </w:rPr>
        <w:t>计</w:t>
      </w:r>
      <w:r>
        <w:rPr>
          <w:rFonts w:hint="eastAsia" w:asciiTheme="minorEastAsia" w:hAnsiTheme="minorEastAsia" w:eastAsiaTheme="minorEastAsia"/>
          <w:sz w:val="32"/>
          <w:szCs w:val="32"/>
          <w:lang w:val="en-US" w:eastAsia="zh-CN"/>
        </w:rPr>
        <w:t>1181.01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2020年1380.52</w:t>
      </w:r>
      <w:r>
        <w:rPr>
          <w:rFonts w:hint="eastAsia" w:asciiTheme="minorEastAsia" w:hAnsiTheme="minorEastAsia" w:eastAsiaTheme="minorEastAsia"/>
          <w:sz w:val="32"/>
          <w:szCs w:val="32"/>
        </w:rPr>
        <w:t>万元相比，</w:t>
      </w:r>
      <w:r>
        <w:rPr>
          <w:rFonts w:hint="eastAsia" w:asciiTheme="minorEastAsia" w:hAnsiTheme="minorEastAsia" w:eastAsiaTheme="minorEastAsia"/>
          <w:sz w:val="32"/>
          <w:szCs w:val="32"/>
          <w:lang w:eastAsia="zh-CN"/>
        </w:rPr>
        <w:t>收入减少</w:t>
      </w:r>
      <w:r>
        <w:rPr>
          <w:rFonts w:hint="eastAsia" w:asciiTheme="minorEastAsia" w:hAnsiTheme="minorEastAsia" w:eastAsiaTheme="minorEastAsia"/>
          <w:sz w:val="32"/>
          <w:szCs w:val="32"/>
          <w:lang w:val="en-US" w:eastAsia="zh-CN"/>
        </w:rPr>
        <w:t>199.51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14.45</w:t>
      </w:r>
      <w:r>
        <w:rPr>
          <w:rFonts w:hint="eastAsia" w:asciiTheme="minorEastAsia" w:hAnsiTheme="minorEastAsia" w:eastAsiaTheme="minorEastAsia"/>
          <w:sz w:val="32"/>
          <w:szCs w:val="32"/>
        </w:rPr>
        <w:t>%，主要是因为扶贫项目的投入</w:t>
      </w:r>
      <w:r>
        <w:rPr>
          <w:rFonts w:hint="eastAsia" w:asciiTheme="minorEastAsia" w:hAnsiTheme="minorEastAsia" w:eastAsiaTheme="minorEastAsia"/>
          <w:sz w:val="32"/>
          <w:szCs w:val="32"/>
          <w:lang w:eastAsia="zh-CN"/>
        </w:rPr>
        <w:t>以及土地增减挂钩工作经费拨入，支出合计</w:t>
      </w:r>
      <w:r>
        <w:rPr>
          <w:rFonts w:hint="eastAsia" w:asciiTheme="minorEastAsia" w:hAnsiTheme="minorEastAsia" w:eastAsiaTheme="minorEastAsia"/>
          <w:sz w:val="32"/>
          <w:szCs w:val="32"/>
          <w:lang w:val="en-US" w:eastAsia="zh-CN"/>
        </w:rPr>
        <w:t>1235.7万元，与2020年1482.11万元相比。支出减少246.41万元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16.63%，</w:t>
      </w:r>
      <w:r>
        <w:rPr>
          <w:rFonts w:hint="eastAsia" w:asciiTheme="minorEastAsia" w:hAnsiTheme="minorEastAsia" w:eastAsiaTheme="minorEastAsia"/>
          <w:sz w:val="32"/>
          <w:szCs w:val="32"/>
          <w:lang w:eastAsia="zh-CN"/>
        </w:rPr>
        <w:t>主要原因是</w:t>
      </w:r>
      <w:r>
        <w:rPr>
          <w:rFonts w:hint="eastAsia" w:asciiTheme="minorEastAsia" w:hAnsiTheme="minorEastAsia" w:eastAsiaTheme="minorEastAsia"/>
          <w:sz w:val="32"/>
          <w:szCs w:val="32"/>
          <w:lang w:val="en-US" w:eastAsia="zh-CN"/>
        </w:rPr>
        <w:t>因为</w:t>
      </w:r>
      <w:r>
        <w:rPr>
          <w:rFonts w:hint="eastAsia" w:asciiTheme="minorEastAsia" w:hAnsiTheme="minorEastAsia" w:eastAsiaTheme="minorEastAsia"/>
          <w:sz w:val="32"/>
          <w:szCs w:val="32"/>
          <w:lang w:eastAsia="zh-CN"/>
        </w:rPr>
        <w:t>扶贫项目的支出以及土地增减挂钩工作经费支出</w:t>
      </w:r>
      <w:r>
        <w:rPr>
          <w:rFonts w:hint="eastAsia" w:ascii="宋体" w:hAnsi="宋体" w:eastAsia="宋体" w:cs="宋体"/>
          <w:kern w:val="0"/>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度财政拨款支出</w:t>
      </w:r>
      <w:r>
        <w:rPr>
          <w:rFonts w:hint="eastAsia" w:asciiTheme="minorEastAsia" w:hAnsiTheme="minorEastAsia" w:eastAsiaTheme="minorEastAsia"/>
          <w:sz w:val="32"/>
          <w:szCs w:val="32"/>
          <w:lang w:val="en-US" w:eastAsia="zh-CN"/>
        </w:rPr>
        <w:t>1235.7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99.2</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eastAsia="zh-CN"/>
        </w:rPr>
        <w:t>2020年</w:t>
      </w:r>
      <w:r>
        <w:rPr>
          <w:rFonts w:hint="eastAsia" w:asciiTheme="minorEastAsia" w:hAnsiTheme="minorEastAsia" w:eastAsiaTheme="minorEastAsia"/>
          <w:sz w:val="32"/>
          <w:szCs w:val="32"/>
        </w:rPr>
        <w:t>相比，财政拨款支出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240.51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16.29</w:t>
      </w:r>
      <w:r>
        <w:rPr>
          <w:rFonts w:hint="eastAsia" w:asciiTheme="minorEastAsia" w:hAnsiTheme="minorEastAsia" w:eastAsiaTheme="minorEastAsia"/>
          <w:sz w:val="32"/>
          <w:szCs w:val="32"/>
        </w:rPr>
        <w:t>%，主要是因为扶贫项目的</w:t>
      </w:r>
      <w:r>
        <w:rPr>
          <w:rFonts w:hint="eastAsia" w:asciiTheme="minorEastAsia" w:hAnsiTheme="minorEastAsia" w:eastAsiaTheme="minorEastAsia"/>
          <w:sz w:val="32"/>
          <w:szCs w:val="32"/>
          <w:lang w:eastAsia="zh-CN"/>
        </w:rPr>
        <w:t>支出以及土地增减挂钩工作经费支出。</w:t>
      </w:r>
    </w:p>
    <w:p>
      <w:pPr>
        <w:pStyle w:val="10"/>
        <w:ind w:firstLine="640" w:firstLineChars="200"/>
        <w:rPr>
          <w:rFonts w:hint="eastAsia" w:asciiTheme="minorEastAsia" w:hAnsiTheme="minorEastAsia" w:eastAsiaTheme="minorEastAsia"/>
          <w:b/>
          <w:sz w:val="32"/>
          <w:szCs w:val="32"/>
        </w:rPr>
      </w:pPr>
    </w:p>
    <w:p>
      <w:pPr>
        <w:pStyle w:val="10"/>
        <w:numPr>
          <w:ilvl w:val="0"/>
          <w:numId w:val="2"/>
        </w:numPr>
        <w:ind w:firstLine="480" w:firstLineChars="15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度财政拨款支出</w:t>
      </w:r>
      <w:r>
        <w:rPr>
          <w:rFonts w:hint="eastAsia" w:asciiTheme="minorEastAsia" w:hAnsiTheme="minorEastAsia" w:eastAsiaTheme="minorEastAsia"/>
          <w:sz w:val="32"/>
          <w:szCs w:val="32"/>
          <w:lang w:val="en-US" w:eastAsia="zh-CN"/>
        </w:rPr>
        <w:t>1235.7</w:t>
      </w:r>
      <w:r>
        <w:rPr>
          <w:rFonts w:hint="eastAsia" w:asciiTheme="minorEastAsia" w:hAnsiTheme="minorEastAsia" w:eastAsiaTheme="minorEastAsia"/>
          <w:sz w:val="32"/>
          <w:szCs w:val="32"/>
        </w:rPr>
        <w:t>万元，主要用于以下方面：</w:t>
      </w:r>
      <w:r>
        <w:rPr>
          <w:rFonts w:hint="eastAsia" w:ascii="宋体" w:hAnsi="宋体" w:eastAsia="宋体" w:cs="宋体"/>
          <w:kern w:val="0"/>
          <w:sz w:val="32"/>
          <w:szCs w:val="32"/>
        </w:rPr>
        <w:t>一般公共服务</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lang w:val="en-US" w:eastAsia="zh-CN"/>
        </w:rPr>
        <w:t>339.36</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27.46</w:t>
      </w:r>
      <w:r>
        <w:rPr>
          <w:rFonts w:hint="eastAsia" w:ascii="宋体" w:hAnsi="宋体" w:eastAsia="宋体" w:cs="宋体"/>
          <w:kern w:val="0"/>
          <w:sz w:val="32"/>
          <w:szCs w:val="32"/>
        </w:rPr>
        <w:t>%；</w:t>
      </w:r>
      <w:r>
        <w:rPr>
          <w:rFonts w:hint="eastAsia" w:ascii="宋体" w:hAnsi="宋体" w:eastAsia="宋体" w:cs="宋体"/>
          <w:kern w:val="0"/>
          <w:sz w:val="32"/>
          <w:szCs w:val="32"/>
          <w:lang w:eastAsia="zh-CN"/>
        </w:rPr>
        <w:t>公共安全支出</w:t>
      </w:r>
      <w:r>
        <w:rPr>
          <w:rFonts w:hint="eastAsia" w:ascii="宋体" w:hAnsi="宋体" w:eastAsia="宋体" w:cs="宋体"/>
          <w:kern w:val="0"/>
          <w:sz w:val="32"/>
          <w:szCs w:val="32"/>
          <w:lang w:val="en-US" w:eastAsia="zh-CN"/>
        </w:rPr>
        <w:t>13.44万元，占1.09%,；</w:t>
      </w:r>
      <w:r>
        <w:rPr>
          <w:rFonts w:hint="eastAsia" w:ascii="宋体" w:hAnsi="宋体" w:eastAsia="宋体" w:cs="宋体"/>
          <w:kern w:val="0"/>
          <w:sz w:val="32"/>
          <w:szCs w:val="32"/>
        </w:rPr>
        <w:t>文化</w:t>
      </w:r>
      <w:r>
        <w:rPr>
          <w:rFonts w:hint="eastAsia" w:ascii="宋体" w:hAnsi="宋体" w:eastAsia="宋体" w:cs="宋体"/>
          <w:kern w:val="0"/>
          <w:sz w:val="32"/>
          <w:szCs w:val="32"/>
          <w:lang w:eastAsia="zh-CN"/>
        </w:rPr>
        <w:t>旅游</w:t>
      </w:r>
      <w:r>
        <w:rPr>
          <w:rFonts w:hint="eastAsia" w:ascii="宋体" w:hAnsi="宋体" w:eastAsia="宋体" w:cs="宋体"/>
          <w:kern w:val="0"/>
          <w:sz w:val="32"/>
          <w:szCs w:val="32"/>
        </w:rPr>
        <w:t>体育</w:t>
      </w:r>
      <w:r>
        <w:rPr>
          <w:rFonts w:hint="eastAsia" w:ascii="宋体" w:hAnsi="宋体" w:eastAsia="宋体" w:cs="宋体"/>
          <w:kern w:val="0"/>
          <w:sz w:val="32"/>
          <w:szCs w:val="32"/>
          <w:lang w:eastAsia="zh-CN"/>
        </w:rPr>
        <w:t>与传媒支出</w:t>
      </w:r>
      <w:r>
        <w:rPr>
          <w:rFonts w:hint="eastAsia" w:ascii="宋体" w:hAnsi="宋体" w:eastAsia="宋体" w:cs="宋体"/>
          <w:kern w:val="0"/>
          <w:sz w:val="32"/>
          <w:szCs w:val="32"/>
          <w:lang w:val="en-US" w:eastAsia="zh-CN"/>
        </w:rPr>
        <w:t>5.13</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0.42</w:t>
      </w:r>
      <w:r>
        <w:rPr>
          <w:rFonts w:hint="eastAsia" w:ascii="宋体" w:hAnsi="宋体" w:eastAsia="宋体" w:cs="宋体"/>
          <w:kern w:val="0"/>
          <w:sz w:val="32"/>
          <w:szCs w:val="32"/>
        </w:rPr>
        <w:t>%；社会保障就业</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lang w:val="en-US" w:eastAsia="zh-CN"/>
        </w:rPr>
        <w:t>53.05万元，</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4.29</w:t>
      </w:r>
      <w:r>
        <w:rPr>
          <w:rFonts w:hint="eastAsia" w:ascii="宋体" w:hAnsi="宋体" w:eastAsia="宋体" w:cs="宋体"/>
          <w:kern w:val="0"/>
          <w:sz w:val="32"/>
          <w:szCs w:val="32"/>
        </w:rPr>
        <w:t>%；卫生与</w:t>
      </w:r>
      <w:r>
        <w:rPr>
          <w:rFonts w:hint="eastAsia" w:ascii="宋体" w:hAnsi="宋体" w:eastAsia="宋体" w:cs="宋体"/>
          <w:kern w:val="0"/>
          <w:sz w:val="32"/>
          <w:szCs w:val="32"/>
          <w:lang w:eastAsia="zh-CN"/>
        </w:rPr>
        <w:t>健康支出</w:t>
      </w:r>
      <w:r>
        <w:rPr>
          <w:rFonts w:hint="eastAsia" w:ascii="宋体" w:hAnsi="宋体" w:eastAsia="宋体" w:cs="宋体"/>
          <w:kern w:val="0"/>
          <w:sz w:val="32"/>
          <w:szCs w:val="32"/>
          <w:lang w:val="en-US" w:eastAsia="zh-CN"/>
        </w:rPr>
        <w:t>23.36</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1.89</w:t>
      </w:r>
      <w:r>
        <w:rPr>
          <w:rFonts w:hint="eastAsia" w:ascii="宋体" w:hAnsi="宋体" w:eastAsia="宋体" w:cs="宋体"/>
          <w:kern w:val="0"/>
          <w:sz w:val="32"/>
          <w:szCs w:val="32"/>
        </w:rPr>
        <w:t>%；节能环保支出5</w:t>
      </w:r>
      <w:r>
        <w:rPr>
          <w:rFonts w:hint="eastAsia" w:ascii="宋体" w:hAnsi="宋体" w:eastAsia="宋体" w:cs="宋体"/>
          <w:kern w:val="0"/>
          <w:sz w:val="32"/>
          <w:szCs w:val="32"/>
          <w:lang w:eastAsia="zh-CN"/>
        </w:rPr>
        <w:t>万元，占</w:t>
      </w:r>
      <w:r>
        <w:rPr>
          <w:rFonts w:hint="eastAsia" w:ascii="宋体" w:hAnsi="宋体" w:eastAsia="宋体" w:cs="宋体"/>
          <w:kern w:val="0"/>
          <w:sz w:val="32"/>
          <w:szCs w:val="32"/>
          <w:lang w:val="en-US" w:eastAsia="zh-CN"/>
        </w:rPr>
        <w:t>0.4%，</w:t>
      </w:r>
      <w:r>
        <w:rPr>
          <w:rFonts w:hint="eastAsia" w:ascii="宋体" w:hAnsi="宋体" w:eastAsia="宋体" w:cs="宋体"/>
          <w:kern w:val="0"/>
          <w:sz w:val="32"/>
          <w:szCs w:val="32"/>
        </w:rPr>
        <w:t>城乡社区</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lang w:val="en-US" w:eastAsia="zh-CN"/>
        </w:rPr>
        <w:t>25.83</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2.09</w:t>
      </w:r>
      <w:r>
        <w:rPr>
          <w:rFonts w:hint="eastAsia" w:ascii="宋体" w:hAnsi="宋体" w:eastAsia="宋体" w:cs="宋体"/>
          <w:kern w:val="0"/>
          <w:sz w:val="32"/>
          <w:szCs w:val="32"/>
        </w:rPr>
        <w:t>%；农林水</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lang w:val="en-US" w:eastAsia="zh-CN"/>
        </w:rPr>
        <w:t>738.53</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59.77</w:t>
      </w:r>
      <w:r>
        <w:rPr>
          <w:rFonts w:hint="eastAsia" w:ascii="宋体" w:hAnsi="宋体" w:eastAsia="宋体" w:cs="宋体"/>
          <w:kern w:val="0"/>
          <w:sz w:val="32"/>
          <w:szCs w:val="32"/>
        </w:rPr>
        <w:t>%；住房保障</w:t>
      </w:r>
      <w:r>
        <w:rPr>
          <w:rFonts w:hint="eastAsia" w:ascii="宋体" w:hAnsi="宋体" w:eastAsia="宋体" w:cs="宋体"/>
          <w:kern w:val="0"/>
          <w:sz w:val="32"/>
          <w:szCs w:val="32"/>
          <w:lang w:eastAsia="zh-CN"/>
        </w:rPr>
        <w:t>支出</w:t>
      </w:r>
      <w:r>
        <w:rPr>
          <w:rFonts w:hint="eastAsia" w:ascii="宋体" w:hAnsi="宋体" w:eastAsia="宋体" w:cs="宋体"/>
          <w:kern w:val="0"/>
          <w:sz w:val="32"/>
          <w:szCs w:val="32"/>
          <w:lang w:val="en-US" w:eastAsia="zh-CN"/>
        </w:rPr>
        <w:t>31.99</w:t>
      </w:r>
      <w:r>
        <w:rPr>
          <w:rFonts w:hint="eastAsia" w:ascii="宋体" w:hAnsi="宋体" w:eastAsia="宋体" w:cs="宋体"/>
          <w:kern w:val="0"/>
          <w:sz w:val="32"/>
          <w:szCs w:val="32"/>
        </w:rPr>
        <w:t>万元</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占</w:t>
      </w:r>
      <w:r>
        <w:rPr>
          <w:rFonts w:hint="eastAsia" w:ascii="宋体" w:hAnsi="宋体" w:eastAsia="宋体" w:cs="宋体"/>
          <w:kern w:val="0"/>
          <w:sz w:val="32"/>
          <w:szCs w:val="32"/>
          <w:lang w:val="en-US" w:eastAsia="zh-CN"/>
        </w:rPr>
        <w:t>2.59</w:t>
      </w:r>
      <w:r>
        <w:rPr>
          <w:rFonts w:hint="eastAsia" w:ascii="宋体" w:hAnsi="宋体" w:eastAsia="宋体" w:cs="宋体"/>
          <w:kern w:val="0"/>
          <w:sz w:val="32"/>
          <w:szCs w:val="32"/>
        </w:rPr>
        <w:t>%</w:t>
      </w:r>
      <w:r>
        <w:rPr>
          <w:rFonts w:hint="eastAsia" w:ascii="宋体" w:hAnsi="宋体" w:eastAsia="宋体" w:cs="宋体"/>
          <w:kern w:val="0"/>
          <w:sz w:val="32"/>
          <w:szCs w:val="32"/>
          <w:lang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2021年</w:t>
      </w:r>
      <w:r>
        <w:rPr>
          <w:rFonts w:hint="eastAsia" w:asciiTheme="minorEastAsia" w:hAnsiTheme="minorEastAsia" w:eastAsiaTheme="minorEastAsia"/>
          <w:sz w:val="32"/>
          <w:szCs w:val="32"/>
        </w:rPr>
        <w:t>度财政拨款支出年初预算数为</w:t>
      </w:r>
      <w:r>
        <w:rPr>
          <w:rFonts w:hint="eastAsia" w:asciiTheme="minorEastAsia" w:hAnsiTheme="minorEastAsia" w:eastAsiaTheme="minorEastAsia"/>
          <w:sz w:val="32"/>
          <w:szCs w:val="32"/>
          <w:lang w:val="en-US" w:eastAsia="zh-CN"/>
        </w:rPr>
        <w:t>856.45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1235.7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144.28</w:t>
      </w:r>
      <w:r>
        <w:rPr>
          <w:rFonts w:hint="eastAsia" w:asciiTheme="minorEastAsia" w:hAnsiTheme="minorEastAsia" w:eastAsiaTheme="minorEastAsia"/>
          <w:sz w:val="32"/>
          <w:szCs w:val="32"/>
        </w:rPr>
        <w:t>%，其中：</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一般公共服务（类）人大事务（款）行政运行（项）。</w:t>
      </w:r>
    </w:p>
    <w:p>
      <w:pPr>
        <w:pStyle w:val="10"/>
        <w:ind w:firstLine="64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6.30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6.3</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一般公共服务（类）政府办公室及相关机构事务（款）行政运行（项）。</w:t>
      </w:r>
    </w:p>
    <w:p>
      <w:pPr>
        <w:pStyle w:val="10"/>
        <w:ind w:firstLine="64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233.86</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284.01</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121.45</w:t>
      </w:r>
      <w:r>
        <w:rPr>
          <w:rFonts w:hint="eastAsia" w:asciiTheme="minorEastAsia" w:hAnsiTheme="minorEastAsia" w:eastAsiaTheme="minorEastAsia" w:cstheme="minorEastAsia"/>
          <w:sz w:val="28"/>
          <w:szCs w:val="28"/>
        </w:rPr>
        <w:t>%，决算数</w:t>
      </w:r>
      <w:r>
        <w:rPr>
          <w:rFonts w:hint="eastAsia" w:asciiTheme="minorEastAsia" w:hAnsiTheme="minorEastAsia" w:eastAsiaTheme="minorEastAsia" w:cstheme="minorEastAsia"/>
          <w:sz w:val="28"/>
          <w:szCs w:val="28"/>
          <w:lang w:val="en-US" w:eastAsia="zh-CN"/>
        </w:rPr>
        <w:t>大于</w:t>
      </w:r>
      <w:r>
        <w:rPr>
          <w:rFonts w:hint="eastAsia" w:asciiTheme="minorEastAsia" w:hAnsiTheme="minorEastAsia" w:eastAsiaTheme="minorEastAsia" w:cstheme="minorEastAsia"/>
          <w:sz w:val="28"/>
          <w:szCs w:val="28"/>
        </w:rPr>
        <w:t>年初预算数的主要原因是：</w:t>
      </w:r>
      <w:r>
        <w:rPr>
          <w:rFonts w:hint="eastAsia" w:asciiTheme="minorEastAsia" w:hAnsiTheme="minorEastAsia" w:eastAsiaTheme="minorEastAsia" w:cstheme="minorEastAsia"/>
          <w:sz w:val="28"/>
          <w:szCs w:val="28"/>
          <w:lang w:val="en-US" w:eastAsia="zh-CN"/>
        </w:rPr>
        <w:t>人员增加，人员工资晋级提标。</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一般公共服务（类）政府办公室及相关机构事务（款）一般行政管理事务（项）。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35.4</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28.25</w:t>
      </w:r>
      <w:r>
        <w:rPr>
          <w:rFonts w:hint="eastAsia" w:asciiTheme="minorEastAsia" w:hAnsiTheme="minorEastAsia" w:eastAsiaTheme="minorEastAsia" w:cstheme="minorEastAsia"/>
          <w:sz w:val="28"/>
          <w:szCs w:val="28"/>
        </w:rPr>
        <w:t>%，决算数</w:t>
      </w:r>
      <w:r>
        <w:rPr>
          <w:rFonts w:hint="eastAsia" w:asciiTheme="minorEastAsia" w:hAnsiTheme="minorEastAsia" w:eastAsiaTheme="minorEastAsia" w:cstheme="minorEastAsia"/>
          <w:sz w:val="28"/>
          <w:szCs w:val="28"/>
          <w:lang w:eastAsia="zh-CN"/>
        </w:rPr>
        <w:t>小</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val="en-US" w:eastAsia="zh-CN"/>
        </w:rPr>
        <w:t>项目减少，未施工。</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一般公共服务（类）财政事务（款）行政运行（项）。</w:t>
      </w:r>
    </w:p>
    <w:p>
      <w:pPr>
        <w:pStyle w:val="10"/>
        <w:ind w:firstLine="64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14.12</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14.12</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一般公共服务（类）财政事务（款）一般行政管理事务（项）。</w:t>
      </w:r>
    </w:p>
    <w:p>
      <w:pPr>
        <w:pStyle w:val="10"/>
        <w:ind w:firstLine="64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12.7</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color w:val="auto"/>
          <w:sz w:val="28"/>
          <w:szCs w:val="28"/>
        </w:rPr>
        <w:t>决算数</w:t>
      </w:r>
      <w:r>
        <w:rPr>
          <w:rFonts w:hint="eastAsia" w:asciiTheme="minorEastAsia" w:hAnsiTheme="minorEastAsia" w:eastAsiaTheme="minorEastAsia" w:cstheme="minorEastAsia"/>
          <w:color w:val="auto"/>
          <w:sz w:val="28"/>
          <w:szCs w:val="28"/>
          <w:lang w:eastAsia="zh-CN"/>
        </w:rPr>
        <w:t>大</w:t>
      </w:r>
      <w:r>
        <w:rPr>
          <w:rFonts w:hint="eastAsia" w:asciiTheme="minorEastAsia" w:hAnsiTheme="minorEastAsia" w:eastAsiaTheme="minorEastAsia" w:cstheme="minorEastAsia"/>
          <w:color w:val="auto"/>
          <w:sz w:val="28"/>
          <w:szCs w:val="28"/>
        </w:rPr>
        <w:t>于年初预算数的主要原因是：</w:t>
      </w:r>
      <w:r>
        <w:rPr>
          <w:rFonts w:hint="eastAsia" w:asciiTheme="minorEastAsia" w:hAnsiTheme="minorEastAsia" w:eastAsiaTheme="minorEastAsia" w:cstheme="minorEastAsia"/>
          <w:color w:val="auto"/>
          <w:sz w:val="28"/>
          <w:szCs w:val="28"/>
          <w:lang w:eastAsia="zh-CN"/>
        </w:rPr>
        <w:t>新增财政工作奖励</w:t>
      </w:r>
      <w:r>
        <w:rPr>
          <w:rFonts w:hint="eastAsia" w:asciiTheme="minorEastAsia" w:hAnsiTheme="minorEastAsia" w:eastAsiaTheme="minorEastAsia" w:cstheme="minorEastAsia"/>
          <w:color w:val="auto"/>
          <w:sz w:val="28"/>
          <w:szCs w:val="28"/>
          <w:lang w:val="en-US" w:eastAsia="zh-CN"/>
        </w:rPr>
        <w:t>工作经费。</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一般公共服务（类）党委办公室及相关机构事务（款）行政运行（项）。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12.24</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12.24</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公共安全（类）司法（款）行政运行（项）。</w:t>
      </w:r>
    </w:p>
    <w:p>
      <w:pPr>
        <w:pStyle w:val="10"/>
        <w:ind w:firstLine="560" w:firstLineChars="200"/>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sz w:val="28"/>
          <w:szCs w:val="28"/>
          <w:highlight w:val="none"/>
        </w:rPr>
        <w:t>年初预算为</w:t>
      </w:r>
      <w:r>
        <w:rPr>
          <w:rFonts w:hint="eastAsia" w:asciiTheme="minorEastAsia" w:hAnsiTheme="minorEastAsia" w:eastAsiaTheme="minorEastAsia" w:cstheme="minorEastAsia"/>
          <w:sz w:val="28"/>
          <w:szCs w:val="28"/>
          <w:highlight w:val="none"/>
          <w:lang w:val="en-US" w:eastAsia="zh-CN"/>
        </w:rPr>
        <w:t>13.44</w:t>
      </w:r>
      <w:r>
        <w:rPr>
          <w:rFonts w:hint="eastAsia" w:asciiTheme="minorEastAsia" w:hAnsiTheme="minorEastAsia" w:eastAsiaTheme="minorEastAsia" w:cstheme="minorEastAsia"/>
          <w:sz w:val="28"/>
          <w:szCs w:val="28"/>
          <w:highlight w:val="none"/>
        </w:rPr>
        <w:t>万元，支出决算为</w:t>
      </w:r>
      <w:r>
        <w:rPr>
          <w:rFonts w:hint="eastAsia" w:asciiTheme="minorEastAsia" w:hAnsiTheme="minorEastAsia" w:eastAsiaTheme="minorEastAsia" w:cstheme="minorEastAsia"/>
          <w:sz w:val="28"/>
          <w:szCs w:val="28"/>
          <w:highlight w:val="none"/>
          <w:lang w:val="en-US" w:eastAsia="zh-CN"/>
        </w:rPr>
        <w:t>13.44</w:t>
      </w:r>
      <w:r>
        <w:rPr>
          <w:rFonts w:hint="eastAsia" w:asciiTheme="minorEastAsia" w:hAnsiTheme="minorEastAsia" w:eastAsiaTheme="minorEastAsia" w:cstheme="minorEastAsia"/>
          <w:sz w:val="28"/>
          <w:szCs w:val="28"/>
          <w:highlight w:val="none"/>
        </w:rPr>
        <w:t>万元，完成年初预算的</w:t>
      </w:r>
      <w:r>
        <w:rPr>
          <w:rFonts w:hint="eastAsia" w:asciiTheme="minorEastAsia" w:hAnsiTheme="minorEastAsia" w:eastAsiaTheme="minorEastAsia" w:cstheme="minorEastAsia"/>
          <w:sz w:val="28"/>
          <w:szCs w:val="28"/>
          <w:highlight w:val="none"/>
          <w:lang w:val="en-US" w:eastAsia="zh-CN"/>
        </w:rPr>
        <w:t>100</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文化旅游体育与传媒（类）广播电视（款）</w:t>
      </w:r>
      <w:r>
        <w:rPr>
          <w:rFonts w:hint="eastAsia" w:asciiTheme="minorEastAsia" w:hAnsiTheme="minorEastAsia" w:eastAsiaTheme="minorEastAsia" w:cstheme="minorEastAsia"/>
          <w:sz w:val="28"/>
          <w:szCs w:val="28"/>
          <w:lang w:eastAsia="zh-CN"/>
        </w:rPr>
        <w:t>行政运行</w:t>
      </w:r>
      <w:r>
        <w:rPr>
          <w:rFonts w:hint="eastAsia" w:asciiTheme="minorEastAsia" w:hAnsiTheme="minorEastAsia" w:eastAsiaTheme="minorEastAsia" w:cstheme="minorEastAsia"/>
          <w:sz w:val="28"/>
          <w:szCs w:val="28"/>
        </w:rPr>
        <w:t>（项）。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5.13</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5.13</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社会保障和就业（类）行政事业单位养老支出（款）行政单位离退休（项）。</w:t>
      </w:r>
    </w:p>
    <w:p>
      <w:pPr>
        <w:pStyle w:val="10"/>
        <w:ind w:firstLine="640"/>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10.00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10.00</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社会保障和就业（类）行政事业单位养老支出（款）机关事业单位基本养老保险缴费（项）。</w:t>
      </w:r>
    </w:p>
    <w:p>
      <w:pPr>
        <w:pStyle w:val="10"/>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41.78</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101.90</w:t>
      </w:r>
      <w:r>
        <w:rPr>
          <w:rFonts w:hint="eastAsia" w:asciiTheme="minorEastAsia" w:hAnsiTheme="minorEastAsia" w:eastAsiaTheme="minorEastAsia" w:cstheme="minorEastAsia"/>
          <w:sz w:val="28"/>
          <w:szCs w:val="28"/>
        </w:rPr>
        <w:t>%，决算数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val="en-US" w:eastAsia="zh-CN"/>
        </w:rPr>
        <w:t>人员调整。</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社会保障和就业（类）其他社会保障和就业支出（款）其他社会保障和就业支出（项）。</w:t>
      </w:r>
    </w:p>
    <w:p>
      <w:pPr>
        <w:pStyle w:val="10"/>
        <w:keepNext w:val="0"/>
        <w:keepLines w:val="0"/>
        <w:pageBreakBefore w:val="0"/>
        <w:kinsoku/>
        <w:wordWrap/>
        <w:overflowPunct/>
        <w:topLinePunct w:val="0"/>
        <w:bidi w:val="0"/>
        <w:snapToGrid/>
        <w:spacing w:line="600" w:lineRule="exact"/>
        <w:ind w:firstLine="700" w:firstLineChars="25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1.27</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63.5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决算数</w:t>
      </w:r>
      <w:r>
        <w:rPr>
          <w:rFonts w:hint="eastAsia" w:asciiTheme="minorEastAsia" w:hAnsiTheme="minorEastAsia" w:eastAsiaTheme="minorEastAsia" w:cstheme="minorEastAsia"/>
          <w:sz w:val="28"/>
          <w:szCs w:val="28"/>
          <w:lang w:eastAsia="zh-CN"/>
        </w:rPr>
        <w:t>小</w:t>
      </w:r>
      <w:r>
        <w:rPr>
          <w:rFonts w:hint="eastAsia" w:asciiTheme="minorEastAsia" w:hAnsiTheme="minorEastAsia" w:eastAsiaTheme="minorEastAsia" w:cstheme="minorEastAsia"/>
          <w:sz w:val="28"/>
          <w:szCs w:val="28"/>
        </w:rPr>
        <w:t>于年初预算数的主要原因是：</w:t>
      </w:r>
      <w:r>
        <w:rPr>
          <w:rFonts w:hint="eastAsia" w:ascii="宋体" w:hAnsi="宋体" w:eastAsia="宋体" w:cs="宋体"/>
          <w:color w:val="auto"/>
          <w:sz w:val="28"/>
          <w:szCs w:val="28"/>
          <w:lang w:eastAsia="zh-CN"/>
        </w:rPr>
        <w:t>人员变动调整</w:t>
      </w:r>
      <w:r>
        <w:rPr>
          <w:rFonts w:hint="eastAsia" w:asciiTheme="minorEastAsia" w:hAnsiTheme="minorEastAsia" w:eastAsiaTheme="minorEastAsia" w:cstheme="minorEastAsia"/>
          <w:sz w:val="28"/>
          <w:szCs w:val="28"/>
          <w:lang w:val="en-US" w:eastAsia="zh-CN"/>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卫生健康（类）计划生育事务（款）其他计划生育事务（项）。</w:t>
      </w:r>
    </w:p>
    <w:p>
      <w:pPr>
        <w:pStyle w:val="10"/>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4.15</w:t>
      </w:r>
      <w:r>
        <w:rPr>
          <w:rFonts w:hint="eastAsia" w:asciiTheme="minorEastAsia" w:hAnsiTheme="minorEastAsia" w:eastAsiaTheme="minorEastAsia" w:cstheme="minorEastAsia"/>
          <w:color w:val="auto"/>
          <w:sz w:val="28"/>
          <w:szCs w:val="28"/>
        </w:rPr>
        <w:t>万元，决算数</w:t>
      </w:r>
      <w:r>
        <w:rPr>
          <w:rFonts w:hint="eastAsia" w:asciiTheme="minorEastAsia" w:hAnsiTheme="minorEastAsia" w:eastAsiaTheme="minorEastAsia" w:cstheme="minorEastAsia"/>
          <w:color w:val="auto"/>
          <w:sz w:val="28"/>
          <w:szCs w:val="28"/>
          <w:lang w:eastAsia="zh-CN"/>
        </w:rPr>
        <w:t>大</w:t>
      </w:r>
      <w:r>
        <w:rPr>
          <w:rFonts w:hint="eastAsia" w:asciiTheme="minorEastAsia" w:hAnsiTheme="minorEastAsia" w:eastAsiaTheme="minorEastAsia" w:cstheme="minorEastAsia"/>
          <w:color w:val="auto"/>
          <w:sz w:val="28"/>
          <w:szCs w:val="28"/>
        </w:rPr>
        <w:t>于年初预算数的主要原因是：</w:t>
      </w:r>
      <w:r>
        <w:rPr>
          <w:rFonts w:hint="eastAsia" w:asciiTheme="minorEastAsia" w:hAnsiTheme="minorEastAsia" w:eastAsiaTheme="minorEastAsia" w:cstheme="minorEastAsia"/>
          <w:color w:val="auto"/>
          <w:sz w:val="28"/>
          <w:szCs w:val="28"/>
          <w:lang w:val="en-US" w:eastAsia="zh-CN"/>
        </w:rPr>
        <w:t>增加社会抚养费安排工作经费。</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卫生健康（类）行政事业单位医疗（款）行政单位医疗（项）。</w:t>
      </w:r>
    </w:p>
    <w:p>
      <w:pPr>
        <w:pStyle w:val="10"/>
        <w:ind w:firstLine="64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19.21</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87.32</w:t>
      </w:r>
      <w:r>
        <w:rPr>
          <w:rFonts w:hint="eastAsia" w:asciiTheme="minorEastAsia" w:hAnsiTheme="minorEastAsia" w:eastAsiaTheme="minorEastAsia" w:cstheme="minorEastAsia"/>
          <w:sz w:val="28"/>
          <w:szCs w:val="28"/>
        </w:rPr>
        <w:t>%，决算数小于年初预算数的主要原因是：</w:t>
      </w:r>
      <w:r>
        <w:rPr>
          <w:rFonts w:hint="eastAsia" w:asciiTheme="minorEastAsia" w:hAnsiTheme="minorEastAsia" w:eastAsiaTheme="minorEastAsia" w:cstheme="minorEastAsia"/>
          <w:sz w:val="28"/>
          <w:szCs w:val="28"/>
          <w:lang w:val="en-US" w:eastAsia="zh-CN"/>
        </w:rPr>
        <w:t>人员调整。</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城乡社区（类）城乡社区管理事务（款）行政运行（项）。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21.83</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20.09</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92.03</w:t>
      </w:r>
      <w:r>
        <w:rPr>
          <w:rFonts w:hint="eastAsia" w:asciiTheme="minorEastAsia" w:hAnsiTheme="minorEastAsia" w:eastAsiaTheme="minorEastAsia" w:cstheme="minorEastAsia"/>
          <w:sz w:val="28"/>
          <w:szCs w:val="28"/>
        </w:rPr>
        <w:t>%，决算数小于年初预算数的主要原因是：</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人员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调整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节能环保支出（类）自然生态保护（款）农村环境保护（项）。</w:t>
      </w:r>
    </w:p>
    <w:p>
      <w:pPr>
        <w:pStyle w:val="10"/>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万元，决算数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eastAsia="zh-CN"/>
        </w:rPr>
        <w:t>新增板新村农村环境整治资金</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城乡社区（类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城乡社区管理事务（款） 行政运行（城乡社区管理事务）（项）。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26.27</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25.83</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98.33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sz w:val="28"/>
          <w:szCs w:val="28"/>
        </w:rPr>
        <w:t>决算数小于年初预算数的主要原因是：</w:t>
      </w:r>
      <w:r>
        <w:rPr>
          <w:rFonts w:hint="eastAsia" w:asciiTheme="minorEastAsia" w:hAnsiTheme="minorEastAsia" w:eastAsiaTheme="minorEastAsia" w:cstheme="minorEastAsia"/>
          <w:sz w:val="28"/>
          <w:szCs w:val="28"/>
          <w:lang w:eastAsia="zh-CN"/>
        </w:rPr>
        <w:t>人员有变化</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城乡社区（类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 其他城乡社区支出（款）其他城乡社区支出（项）。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决算数小于年初预算数的主要原因是：</w:t>
      </w:r>
      <w:r>
        <w:rPr>
          <w:rFonts w:hint="eastAsia" w:asciiTheme="minorEastAsia" w:hAnsiTheme="minorEastAsia" w:eastAsiaTheme="minorEastAsia" w:cstheme="minorEastAsia"/>
          <w:sz w:val="28"/>
          <w:szCs w:val="28"/>
          <w:lang w:eastAsia="zh-CN"/>
        </w:rPr>
        <w:t>科目改变，支出归到行政运行科目</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农林水支出（类）农业农村（款）一般行政管理事务（项）。</w:t>
      </w:r>
    </w:p>
    <w:p>
      <w:pPr>
        <w:pStyle w:val="10"/>
        <w:keepNext w:val="0"/>
        <w:keepLines w:val="0"/>
        <w:pageBreakBefore w:val="0"/>
        <w:numPr>
          <w:ilvl w:val="0"/>
          <w:numId w:val="0"/>
        </w:numPr>
        <w:kinsoku/>
        <w:wordWrap/>
        <w:overflowPunct/>
        <w:topLinePunct w:val="0"/>
        <w:bidi w:val="0"/>
        <w:snapToGrid/>
        <w:spacing w:line="60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35.4</w:t>
      </w:r>
      <w:r>
        <w:rPr>
          <w:rFonts w:hint="eastAsia" w:asciiTheme="minorEastAsia" w:hAnsiTheme="minorEastAsia" w:eastAsiaTheme="minorEastAsia" w:cstheme="minorEastAsia"/>
          <w:color w:val="auto"/>
          <w:sz w:val="28"/>
          <w:szCs w:val="28"/>
        </w:rPr>
        <w:t>万元，决算数</w:t>
      </w:r>
      <w:r>
        <w:rPr>
          <w:rFonts w:hint="eastAsia" w:asciiTheme="minorEastAsia" w:hAnsiTheme="minorEastAsia" w:eastAsiaTheme="minorEastAsia" w:cstheme="minorEastAsia"/>
          <w:color w:val="auto"/>
          <w:sz w:val="28"/>
          <w:szCs w:val="28"/>
          <w:lang w:eastAsia="zh-CN"/>
        </w:rPr>
        <w:t>大于</w:t>
      </w:r>
      <w:r>
        <w:rPr>
          <w:rFonts w:hint="eastAsia" w:asciiTheme="minorEastAsia" w:hAnsiTheme="minorEastAsia" w:eastAsiaTheme="minorEastAsia" w:cstheme="minorEastAsia"/>
          <w:color w:val="auto"/>
          <w:sz w:val="28"/>
          <w:szCs w:val="28"/>
        </w:rPr>
        <w:t>年初预算数的主要原因是：</w:t>
      </w:r>
      <w:r>
        <w:rPr>
          <w:rFonts w:hint="eastAsia" w:asciiTheme="minorEastAsia" w:hAnsiTheme="minorEastAsia" w:eastAsiaTheme="minorEastAsia" w:cstheme="minorEastAsia"/>
          <w:color w:val="auto"/>
          <w:sz w:val="28"/>
          <w:szCs w:val="28"/>
          <w:lang w:val="en-US" w:eastAsia="zh-CN"/>
        </w:rPr>
        <w:t>此资金为烟税分成。</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农林水支出（类）农业农村（款）事业运行（项）。</w:t>
      </w:r>
    </w:p>
    <w:p>
      <w:pPr>
        <w:pStyle w:val="10"/>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79.65</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79.65</w:t>
      </w:r>
      <w:r>
        <w:rPr>
          <w:rFonts w:hint="eastAsia" w:asciiTheme="minorEastAsia" w:hAnsiTheme="minorEastAsia" w:eastAsiaTheme="minorEastAsia" w:cstheme="minorEastAsia"/>
          <w:color w:val="auto"/>
          <w:sz w:val="28"/>
          <w:szCs w:val="28"/>
        </w:rPr>
        <w:t>万元，完成年初预算的</w:t>
      </w:r>
      <w:r>
        <w:rPr>
          <w:rFonts w:hint="eastAsia" w:asciiTheme="minorEastAsia" w:hAnsiTheme="minorEastAsia" w:eastAsiaTheme="minorEastAsia" w:cstheme="minorEastAsia"/>
          <w:color w:val="auto"/>
          <w:sz w:val="28"/>
          <w:szCs w:val="28"/>
          <w:lang w:val="en-US" w:eastAsia="zh-CN"/>
        </w:rPr>
        <w:t>100</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农林水支出（类）林业和草原（款）事业机构（项）。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5.34</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5.34</w:t>
      </w:r>
      <w:r>
        <w:rPr>
          <w:rFonts w:hint="eastAsia" w:asciiTheme="minorEastAsia" w:hAnsiTheme="minorEastAsia" w:eastAsiaTheme="minorEastAsia" w:cstheme="minorEastAsia"/>
          <w:sz w:val="28"/>
          <w:szCs w:val="28"/>
        </w:rPr>
        <w:t>万元，完成年初预算的</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农林水支出（类）水利（款）其他水利支出</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项）。</w:t>
      </w:r>
    </w:p>
    <w:p>
      <w:pPr>
        <w:pStyle w:val="10"/>
        <w:ind w:firstLine="64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6.8</w:t>
      </w:r>
      <w:r>
        <w:rPr>
          <w:rFonts w:hint="eastAsia" w:asciiTheme="minorEastAsia" w:hAnsiTheme="minorEastAsia" w:eastAsiaTheme="minorEastAsia" w:cstheme="minorEastAsia"/>
          <w:sz w:val="28"/>
          <w:szCs w:val="28"/>
        </w:rPr>
        <w:t>万元，决算数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eastAsia="zh-CN"/>
        </w:rPr>
        <w:t>支付</w:t>
      </w:r>
      <w:r>
        <w:rPr>
          <w:rFonts w:hint="eastAsia" w:asciiTheme="minorEastAsia" w:hAnsiTheme="minorEastAsia" w:eastAsiaTheme="minorEastAsia" w:cstheme="minorEastAsia"/>
          <w:sz w:val="28"/>
          <w:szCs w:val="28"/>
          <w:lang w:val="en-US" w:eastAsia="zh-CN"/>
        </w:rPr>
        <w:t>凉井村安全饮水提质改造资金。</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农林水支出（类）扶贫（款）一般行政管理事务</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项）。</w:t>
      </w:r>
    </w:p>
    <w:p>
      <w:pPr>
        <w:pStyle w:val="10"/>
        <w:ind w:firstLine="64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33.3</w:t>
      </w:r>
      <w:r>
        <w:rPr>
          <w:rFonts w:hint="eastAsia" w:asciiTheme="minorEastAsia" w:hAnsiTheme="minorEastAsia" w:eastAsiaTheme="minorEastAsia" w:cstheme="minorEastAsia"/>
          <w:sz w:val="28"/>
          <w:szCs w:val="28"/>
        </w:rPr>
        <w:t>万元，决算数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val="en-US" w:eastAsia="zh-CN"/>
        </w:rPr>
        <w:t>增加乡村振兴工作保障经费。</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农林水支出（类）扶贫（款）农村基础设施建设</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项）。</w:t>
      </w:r>
    </w:p>
    <w:p>
      <w:pPr>
        <w:pStyle w:val="10"/>
        <w:ind w:firstLine="64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297.45</w:t>
      </w:r>
      <w:r>
        <w:rPr>
          <w:rFonts w:hint="eastAsia" w:asciiTheme="minorEastAsia" w:hAnsiTheme="minorEastAsia" w:eastAsiaTheme="minorEastAsia" w:cstheme="minorEastAsia"/>
          <w:sz w:val="28"/>
          <w:szCs w:val="28"/>
        </w:rPr>
        <w:t>万元，决算数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val="en-US" w:eastAsia="zh-CN"/>
        </w:rPr>
        <w:t>新增土地增减挂钩资金。</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农林水支出（类）扶贫（款）其他扶贫支出</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项）。</w:t>
      </w:r>
    </w:p>
    <w:p>
      <w:pPr>
        <w:pStyle w:val="10"/>
        <w:ind w:firstLine="64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rPr>
        <w:t>年初预算为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rPr>
        <w:t>万元，决算数</w:t>
      </w:r>
      <w:r>
        <w:rPr>
          <w:rFonts w:hint="eastAsia" w:asciiTheme="minorEastAsia" w:hAnsiTheme="minorEastAsia" w:eastAsiaTheme="minorEastAsia" w:cstheme="minorEastAsia"/>
          <w:sz w:val="28"/>
          <w:szCs w:val="28"/>
          <w:lang w:eastAsia="zh-CN"/>
        </w:rPr>
        <w:t>大</w:t>
      </w:r>
      <w:r>
        <w:rPr>
          <w:rFonts w:hint="eastAsia" w:asciiTheme="minorEastAsia" w:hAnsiTheme="minorEastAsia" w:eastAsiaTheme="minorEastAsia" w:cstheme="minorEastAsia"/>
          <w:sz w:val="28"/>
          <w:szCs w:val="28"/>
        </w:rPr>
        <w:t>于年初预算数的主要原因是：</w:t>
      </w:r>
      <w:r>
        <w:rPr>
          <w:rFonts w:hint="eastAsia" w:asciiTheme="minorEastAsia" w:hAnsiTheme="minorEastAsia" w:eastAsiaTheme="minorEastAsia" w:cstheme="minorEastAsia"/>
          <w:sz w:val="28"/>
          <w:szCs w:val="28"/>
          <w:lang w:val="en-US" w:eastAsia="zh-CN"/>
        </w:rPr>
        <w:t>曾加防返贫资金12万，示范村宣传资金4万。</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农林水支出（类）农村综合改革（款）对村民委员会和村党支部的补助</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项）。</w:t>
      </w:r>
    </w:p>
    <w:p>
      <w:pPr>
        <w:pStyle w:val="10"/>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289.66</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256.09</w:t>
      </w:r>
      <w:r>
        <w:rPr>
          <w:rFonts w:hint="eastAsia" w:asciiTheme="minorEastAsia" w:hAnsiTheme="minorEastAsia" w:eastAsiaTheme="minorEastAsia" w:cstheme="minorEastAsia"/>
          <w:color w:val="auto"/>
          <w:sz w:val="28"/>
          <w:szCs w:val="28"/>
        </w:rPr>
        <w:t>万元，完成年初预算的</w:t>
      </w:r>
      <w:r>
        <w:rPr>
          <w:rFonts w:hint="eastAsia" w:asciiTheme="minorEastAsia" w:hAnsiTheme="minorEastAsia" w:eastAsiaTheme="minorEastAsia" w:cstheme="minorEastAsia"/>
          <w:color w:val="auto"/>
          <w:sz w:val="28"/>
          <w:szCs w:val="28"/>
          <w:lang w:val="en-US" w:eastAsia="zh-CN"/>
        </w:rPr>
        <w:t>88.41</w:t>
      </w:r>
      <w:r>
        <w:rPr>
          <w:rFonts w:hint="eastAsia" w:asciiTheme="minorEastAsia" w:hAnsiTheme="minorEastAsia" w:eastAsiaTheme="minorEastAsia" w:cstheme="minorEastAsia"/>
          <w:color w:val="auto"/>
          <w:sz w:val="28"/>
          <w:szCs w:val="28"/>
        </w:rPr>
        <w:t>%，决算数小于年初预算数的主要原因是</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人员变动。</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农林水支出（类）其他农林水支出（款）其他农林水支出</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项）。</w:t>
      </w:r>
    </w:p>
    <w:p>
      <w:pPr>
        <w:pStyle w:val="10"/>
        <w:ind w:firstLine="64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8.5</w:t>
      </w:r>
      <w:r>
        <w:rPr>
          <w:rFonts w:hint="eastAsia" w:asciiTheme="minorEastAsia" w:hAnsiTheme="minorEastAsia" w:eastAsiaTheme="minorEastAsia" w:cstheme="minorEastAsia"/>
          <w:color w:val="auto"/>
          <w:sz w:val="28"/>
          <w:szCs w:val="28"/>
        </w:rPr>
        <w:t>万元，决算数</w:t>
      </w:r>
      <w:r>
        <w:rPr>
          <w:rFonts w:hint="eastAsia" w:asciiTheme="minorEastAsia" w:hAnsiTheme="minorEastAsia" w:eastAsiaTheme="minorEastAsia" w:cstheme="minorEastAsia"/>
          <w:color w:val="auto"/>
          <w:sz w:val="28"/>
          <w:szCs w:val="28"/>
          <w:lang w:eastAsia="zh-CN"/>
        </w:rPr>
        <w:t>大</w:t>
      </w:r>
      <w:r>
        <w:rPr>
          <w:rFonts w:hint="eastAsia" w:asciiTheme="minorEastAsia" w:hAnsiTheme="minorEastAsia" w:eastAsiaTheme="minorEastAsia" w:cstheme="minorEastAsia"/>
          <w:color w:val="auto"/>
          <w:sz w:val="28"/>
          <w:szCs w:val="28"/>
        </w:rPr>
        <w:t>于年初预算数的主要原因是</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支付板新板交州交通局危房改造资金0.5万，支付高果村基础设施与产业发展资金8万。</w:t>
      </w:r>
    </w:p>
    <w:p>
      <w:pPr>
        <w:pStyle w:val="10"/>
        <w:keepNext w:val="0"/>
        <w:keepLines w:val="0"/>
        <w:pageBreakBefore w:val="0"/>
        <w:numPr>
          <w:ilvl w:val="0"/>
          <w:numId w:val="3"/>
        </w:numPr>
        <w:kinsoku/>
        <w:wordWrap/>
        <w:overflowPunct/>
        <w:topLinePunct w:val="0"/>
        <w:bidi w:val="0"/>
        <w:snapToGrid/>
        <w:spacing w:line="600" w:lineRule="exac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住房保障支出（类）住房改革支出（款）住房公积金</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项）。</w:t>
      </w:r>
    </w:p>
    <w:p>
      <w:pPr>
        <w:pStyle w:val="10"/>
        <w:ind w:firstLine="640"/>
        <w:rPr>
          <w:rFonts w:hint="eastAsia" w:asciiTheme="minorEastAsia" w:hAnsiTheme="minorEastAsia" w:eastAsiaTheme="minorEastAsia"/>
          <w:sz w:val="32"/>
          <w:szCs w:val="32"/>
        </w:rPr>
      </w:pPr>
      <w:r>
        <w:rPr>
          <w:rFonts w:hint="eastAsia" w:asciiTheme="minorEastAsia" w:hAnsiTheme="minorEastAsia" w:eastAsiaTheme="minorEastAsia" w:cstheme="minorEastAsia"/>
          <w:color w:val="auto"/>
          <w:sz w:val="28"/>
          <w:szCs w:val="28"/>
        </w:rPr>
        <w:t>年初预算为</w:t>
      </w:r>
      <w:r>
        <w:rPr>
          <w:rFonts w:hint="eastAsia" w:asciiTheme="minorEastAsia" w:hAnsiTheme="minorEastAsia" w:eastAsiaTheme="minorEastAsia" w:cstheme="minorEastAsia"/>
          <w:color w:val="auto"/>
          <w:sz w:val="28"/>
          <w:szCs w:val="28"/>
          <w:lang w:val="en-US" w:eastAsia="zh-CN"/>
        </w:rPr>
        <w:t>32</w:t>
      </w:r>
      <w:r>
        <w:rPr>
          <w:rFonts w:hint="eastAsia" w:asciiTheme="minorEastAsia" w:hAnsiTheme="minorEastAsia" w:eastAsiaTheme="minorEastAsia" w:cstheme="minorEastAsia"/>
          <w:color w:val="auto"/>
          <w:sz w:val="28"/>
          <w:szCs w:val="28"/>
        </w:rPr>
        <w:t>万元，支出决算为</w:t>
      </w:r>
      <w:r>
        <w:rPr>
          <w:rFonts w:hint="eastAsia" w:asciiTheme="minorEastAsia" w:hAnsiTheme="minorEastAsia" w:eastAsiaTheme="minorEastAsia" w:cstheme="minorEastAsia"/>
          <w:color w:val="auto"/>
          <w:sz w:val="28"/>
          <w:szCs w:val="28"/>
          <w:lang w:val="en-US" w:eastAsia="zh-CN"/>
        </w:rPr>
        <w:t>31.99</w:t>
      </w:r>
      <w:r>
        <w:rPr>
          <w:rFonts w:hint="eastAsia" w:asciiTheme="minorEastAsia" w:hAnsiTheme="minorEastAsia" w:eastAsiaTheme="minorEastAsia" w:cstheme="minorEastAsia"/>
          <w:color w:val="auto"/>
          <w:sz w:val="28"/>
          <w:szCs w:val="28"/>
        </w:rPr>
        <w:t>万元，完成年初预算的</w:t>
      </w:r>
      <w:r>
        <w:rPr>
          <w:rFonts w:hint="eastAsia" w:asciiTheme="minorEastAsia" w:hAnsiTheme="minorEastAsia" w:eastAsiaTheme="minorEastAsia" w:cstheme="minorEastAsia"/>
          <w:color w:val="auto"/>
          <w:sz w:val="28"/>
          <w:szCs w:val="28"/>
          <w:lang w:val="en-US" w:eastAsia="zh-CN"/>
        </w:rPr>
        <w:t>99.97</w:t>
      </w:r>
      <w:r>
        <w:rPr>
          <w:rFonts w:hint="eastAsia" w:asciiTheme="minorEastAsia" w:hAnsiTheme="minorEastAsia" w:eastAsiaTheme="minorEastAsia" w:cstheme="minorEastAsia"/>
          <w:color w:val="auto"/>
          <w:sz w:val="28"/>
          <w:szCs w:val="28"/>
        </w:rPr>
        <w:t>%，决算数小于年初预算数的主要原因是：</w:t>
      </w:r>
      <w:r>
        <w:rPr>
          <w:rFonts w:hint="eastAsia" w:asciiTheme="minorEastAsia" w:hAnsiTheme="minorEastAsia" w:eastAsiaTheme="minorEastAsia" w:cstheme="minorEastAsia"/>
          <w:color w:val="auto"/>
          <w:sz w:val="28"/>
          <w:szCs w:val="28"/>
          <w:lang w:val="en-US" w:eastAsia="zh-CN"/>
        </w:rPr>
        <w:t>人员变动。</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2021年度财政拨款基本支出774.41万元，其中：人员经费638.31万元，占基本支出的82.42%,主要包括基本工资、津贴补贴、奖金、养老、医疗、职业年金、其他社会保障缴费、住房公积金、抚恤金、村干及大学生村干补助；公用经费136.1万元，占基本支出的17.58%，主要包括办公费、印刷费、电费、差旅费、会议费、培训费、公务接待费、劳务费、工会经费、其他交通费用、其他商品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99.29</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因公出国（境）费支出预算为0万元，支出决算为0万元，完成预算的0%。上年度支出也为0，无增减变化。</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公务接待费支出预算为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99.28</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严格按照中央八项规定执行接待标准</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降低接待费用</w:t>
      </w:r>
      <w:r>
        <w:rPr>
          <w:rFonts w:hint="eastAsia" w:asciiTheme="minorEastAsia" w:hAnsiTheme="minorEastAsia" w:eastAsiaTheme="minorEastAsia"/>
          <w:sz w:val="32"/>
          <w:szCs w:val="32"/>
          <w:highlight w:val="none"/>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公务用车购置费及运行维护费支出预算为0万元，支出决算为0万元，本单位无公车。上年度支出也为0，无增减变化。</w:t>
      </w:r>
    </w:p>
    <w:p>
      <w:pPr>
        <w:pStyle w:val="10"/>
        <w:rPr>
          <w:rFonts w:hint="eastAsia" w:ascii="宋体" w:hAnsi="宋体" w:eastAsia="宋体" w:cs="宋体"/>
          <w:bCs/>
          <w:kern w:val="0"/>
          <w:sz w:val="28"/>
          <w:szCs w:val="28"/>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2021年度“三公”经费财政拨款支出决算中，公务接待费支出决算4.17万元，占100%,因公出国（境）费支出决算0万元，占0%,公务用车购置费及运行维护费支出决算0万元，占0%。其中：</w:t>
      </w:r>
    </w:p>
    <w:p>
      <w:pPr>
        <w:pStyle w:val="10"/>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1、因公出国（境）费支出决算为0万元，全年安排因公出国（境）团组0个，累计0人次。无开支。</w:t>
      </w:r>
    </w:p>
    <w:p>
      <w:pPr>
        <w:pStyle w:val="10"/>
        <w:ind w:firstLine="800" w:firstLineChars="25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2、公务接待费支出决算为4.17万元，全年共接待来访团组32个、来宾352人次，主要是乡村振兴、安全生产、应急救灾、美丽湘西建设以及其他工作检查人员来访等发生的接待支出。。</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本单位无公车。</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2021年</w:t>
      </w:r>
      <w:r>
        <w:rPr>
          <w:rFonts w:hint="eastAsia" w:asciiTheme="minorEastAsia" w:hAnsiTheme="minorEastAsia" w:eastAsiaTheme="minorEastAsia"/>
          <w:sz w:val="32"/>
          <w:szCs w:val="32"/>
        </w:rPr>
        <w:t>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int="eastAsia" w:hAnsi="黑体"/>
          <w:b/>
          <w:sz w:val="32"/>
          <w:szCs w:val="32"/>
        </w:rPr>
      </w:pPr>
      <w:r>
        <w:rPr>
          <w:rFonts w:hint="eastAsia" w:hAnsi="黑体"/>
          <w:b/>
          <w:sz w:val="32"/>
          <w:szCs w:val="32"/>
          <w:lang w:eastAsia="zh-CN"/>
        </w:rPr>
        <w:t>九</w:t>
      </w:r>
      <w:r>
        <w:rPr>
          <w:rFonts w:hint="eastAsia" w:hAnsi="黑体"/>
          <w:b/>
          <w:sz w:val="32"/>
          <w:szCs w:val="32"/>
        </w:rPr>
        <w:t>、机关运行经费支出情况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本部门2021年度机关运行经费支出136.</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eastAsia="zh-CN"/>
        </w:rPr>
        <w:t>减少了</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3.33</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人员减少以及降低开支</w:t>
      </w:r>
      <w:r>
        <w:rPr>
          <w:rFonts w:hint="eastAsia" w:asciiTheme="minorEastAsia" w:hAnsiTheme="minorEastAsia" w:eastAsiaTheme="minorEastAsia"/>
          <w:sz w:val="32"/>
          <w:szCs w:val="32"/>
        </w:rPr>
        <w:t>。</w:t>
      </w:r>
    </w:p>
    <w:p>
      <w:pPr>
        <w:pStyle w:val="10"/>
        <w:rPr>
          <w:rFonts w:hint="eastAsia" w:hAnsi="黑体"/>
          <w:b/>
          <w:sz w:val="32"/>
          <w:szCs w:val="32"/>
          <w:lang w:eastAsia="zh-CN"/>
        </w:rPr>
      </w:pPr>
      <w:r>
        <w:rPr>
          <w:rFonts w:hint="eastAsia" w:hAnsi="黑体"/>
          <w:b/>
          <w:sz w:val="32"/>
          <w:szCs w:val="32"/>
          <w:lang w:eastAsia="zh-CN"/>
        </w:rPr>
        <w:t>十、一般性支出情况</w:t>
      </w:r>
    </w:p>
    <w:p>
      <w:pPr>
        <w:ind w:firstLine="600" w:firstLineChars="200"/>
        <w:rPr>
          <w:rFonts w:hint="eastAsia" w:asciiTheme="minorEastAsia" w:hAnsiTheme="minorEastAsia" w:cstheme="minorEastAsia"/>
          <w:color w:val="000000"/>
          <w:kern w:val="0"/>
          <w:sz w:val="32"/>
          <w:szCs w:val="32"/>
          <w:lang w:eastAsia="zh-CN"/>
        </w:rPr>
      </w:pPr>
      <w:r>
        <w:rPr>
          <w:rFonts w:hint="eastAsia" w:ascii="仿宋" w:hAnsi="仿宋" w:eastAsia="仿宋" w:cs="黑体"/>
          <w:color w:val="000000"/>
          <w:kern w:val="0"/>
          <w:sz w:val="30"/>
          <w:szCs w:val="30"/>
          <w:highlight w:val="none"/>
          <w:lang w:eastAsia="zh-CN"/>
        </w:rPr>
        <w:t>2021年</w:t>
      </w:r>
      <w:r>
        <w:rPr>
          <w:rFonts w:hint="eastAsia" w:ascii="仿宋" w:hAnsi="仿宋" w:eastAsia="仿宋" w:cs="黑体"/>
          <w:color w:val="000000"/>
          <w:kern w:val="0"/>
          <w:sz w:val="30"/>
          <w:szCs w:val="30"/>
          <w:highlight w:val="none"/>
        </w:rPr>
        <w:t>本部门开支会议费</w:t>
      </w:r>
      <w:r>
        <w:rPr>
          <w:rFonts w:hint="eastAsia" w:ascii="仿宋" w:hAnsi="仿宋" w:eastAsia="仿宋" w:cs="黑体"/>
          <w:color w:val="000000"/>
          <w:kern w:val="0"/>
          <w:sz w:val="30"/>
          <w:szCs w:val="30"/>
          <w:highlight w:val="none"/>
          <w:lang w:val="en-US" w:eastAsia="zh-CN"/>
        </w:rPr>
        <w:t>1.77</w:t>
      </w:r>
      <w:r>
        <w:rPr>
          <w:rFonts w:hint="eastAsia" w:ascii="仿宋" w:hAnsi="仿宋" w:eastAsia="仿宋" w:cs="黑体"/>
          <w:color w:val="000000"/>
          <w:kern w:val="0"/>
          <w:sz w:val="30"/>
          <w:szCs w:val="30"/>
          <w:highlight w:val="none"/>
        </w:rPr>
        <w:t>万元</w:t>
      </w:r>
      <w:r>
        <w:rPr>
          <w:rFonts w:hint="eastAsia" w:ascii="仿宋" w:hAnsi="仿宋" w:eastAsia="仿宋" w:cs="黑体"/>
          <w:color w:val="000000"/>
          <w:kern w:val="0"/>
          <w:sz w:val="30"/>
          <w:szCs w:val="30"/>
          <w:highlight w:val="none"/>
          <w:lang w:eastAsia="zh-CN"/>
        </w:rPr>
        <w:t>，</w:t>
      </w:r>
      <w:r>
        <w:rPr>
          <w:rFonts w:hint="eastAsia" w:asciiTheme="minorEastAsia" w:hAnsiTheme="minorEastAsia" w:eastAsiaTheme="minorEastAsia" w:cstheme="minorEastAsia"/>
          <w:color w:val="000000"/>
          <w:kern w:val="0"/>
          <w:sz w:val="32"/>
          <w:szCs w:val="32"/>
        </w:rPr>
        <w:t>用于召开精准脱贫、网格化、查非纠纬、产业发展、土地复垦、党建等会议，人数</w:t>
      </w:r>
      <w:r>
        <w:rPr>
          <w:rFonts w:hint="eastAsia" w:asciiTheme="minorEastAsia" w:hAnsiTheme="minorEastAsia" w:cstheme="minorEastAsia"/>
          <w:color w:val="000000"/>
          <w:kern w:val="0"/>
          <w:sz w:val="32"/>
          <w:szCs w:val="32"/>
          <w:lang w:val="en-US" w:eastAsia="zh-CN"/>
        </w:rPr>
        <w:t>502</w:t>
      </w:r>
      <w:r>
        <w:rPr>
          <w:rFonts w:hint="eastAsia" w:asciiTheme="minorEastAsia" w:hAnsiTheme="minorEastAsia" w:eastAsiaTheme="minorEastAsia" w:cstheme="minorEastAsia"/>
          <w:color w:val="000000"/>
          <w:kern w:val="0"/>
          <w:sz w:val="32"/>
          <w:szCs w:val="32"/>
        </w:rPr>
        <w:t>人，内容为精准脱贫、网格化、查非纠纬、产业发展、土地复垦、党建等相关方面工作内容</w:t>
      </w:r>
      <w:r>
        <w:rPr>
          <w:rFonts w:hint="eastAsia" w:asciiTheme="minorEastAsia" w:hAnsiTheme="minorEastAsia" w:cstheme="minorEastAsia"/>
          <w:color w:val="000000"/>
          <w:kern w:val="0"/>
          <w:sz w:val="32"/>
          <w:szCs w:val="32"/>
          <w:lang w:eastAsia="zh-CN"/>
        </w:rPr>
        <w:t>，</w:t>
      </w:r>
      <w:r>
        <w:rPr>
          <w:rFonts w:hint="eastAsia" w:asciiTheme="minorEastAsia" w:hAnsiTheme="minorEastAsia" w:eastAsiaTheme="minorEastAsia"/>
          <w:sz w:val="32"/>
          <w:szCs w:val="32"/>
          <w:lang w:eastAsia="zh-CN"/>
        </w:rPr>
        <w:t>办公费</w:t>
      </w:r>
      <w:r>
        <w:rPr>
          <w:rFonts w:hint="eastAsia" w:asciiTheme="minorEastAsia" w:hAnsiTheme="minorEastAsia" w:eastAsiaTheme="minorEastAsia"/>
          <w:sz w:val="32"/>
          <w:szCs w:val="32"/>
          <w:lang w:val="en-US" w:eastAsia="zh-CN"/>
        </w:rPr>
        <w:t>95.02万元用于单位办公用品、日常耗材等办公开支，印刷费3.68万元用于单位日常宣传资料横幅打印等工作</w:t>
      </w:r>
      <w:r>
        <w:rPr>
          <w:rFonts w:hint="eastAsia" w:asciiTheme="minorEastAsia" w:hAnsiTheme="minorEastAsia" w:cstheme="minorEastAsia"/>
          <w:color w:val="000000"/>
          <w:kern w:val="0"/>
          <w:sz w:val="32"/>
          <w:szCs w:val="32"/>
          <w:lang w:eastAsia="zh-CN"/>
        </w:rPr>
        <w:t>。</w:t>
      </w:r>
    </w:p>
    <w:p>
      <w:pPr>
        <w:rPr>
          <w:rFonts w:ascii="仿宋" w:hAnsi="仿宋" w:eastAsia="仿宋" w:cs="黑体"/>
          <w:b/>
          <w:color w:val="000000"/>
          <w:kern w:val="0"/>
          <w:sz w:val="30"/>
          <w:szCs w:val="30"/>
          <w:highlight w:val="none"/>
        </w:rPr>
      </w:pPr>
      <w:r>
        <w:rPr>
          <w:rFonts w:hint="eastAsia" w:ascii="黑体" w:hAnsi="黑体" w:eastAsia="黑体" w:cs="黑体"/>
          <w:b/>
          <w:color w:val="000000"/>
          <w:kern w:val="0"/>
          <w:sz w:val="32"/>
          <w:szCs w:val="32"/>
          <w:lang w:val="en-US" w:eastAsia="zh-CN" w:bidi="ar-SA"/>
        </w:rPr>
        <w:t>十一、政府采购支出情况</w:t>
      </w:r>
    </w:p>
    <w:p>
      <w:p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本部门2021年度政府采购支出总额</w:t>
      </w:r>
      <w:r>
        <w:rPr>
          <w:rFonts w:hint="eastAsia" w:asciiTheme="minorEastAsia" w:hAnsiTheme="minorEastAsia"/>
          <w:sz w:val="32"/>
          <w:szCs w:val="32"/>
          <w:lang w:val="en-US" w:eastAsia="zh-CN"/>
        </w:rPr>
        <w:t>20.85</w:t>
      </w:r>
      <w:r>
        <w:rPr>
          <w:rFonts w:hint="eastAsia" w:asciiTheme="minorEastAsia" w:hAnsiTheme="minorEastAsia" w:eastAsiaTheme="minorEastAsia"/>
          <w:sz w:val="32"/>
          <w:szCs w:val="32"/>
          <w:lang w:val="en-US" w:eastAsia="zh-CN"/>
        </w:rPr>
        <w:t>万元，其中：政府采购货物支出</w:t>
      </w:r>
      <w:r>
        <w:rPr>
          <w:rFonts w:hint="eastAsia" w:asciiTheme="minorEastAsia" w:hAnsiTheme="minorEastAsia"/>
          <w:sz w:val="32"/>
          <w:szCs w:val="32"/>
          <w:lang w:val="en-US" w:eastAsia="zh-CN"/>
        </w:rPr>
        <w:t>20.85</w:t>
      </w:r>
      <w:r>
        <w:rPr>
          <w:rFonts w:hint="eastAsia" w:asciiTheme="minorEastAsia" w:hAnsiTheme="minorEastAsia" w:eastAsiaTheme="minorEastAsia"/>
          <w:sz w:val="32"/>
          <w:szCs w:val="32"/>
          <w:lang w:val="en-US" w:eastAsia="zh-CN"/>
        </w:rPr>
        <w:t>万元、政府采购工程支出0万元、政府采购服务支出0万元。授予中小企业合同金额0万元，占政府采购支出总额的100%，其中：授予小微企业合同金额0万元，占政府采购支出总额的0%。</w:t>
      </w:r>
    </w:p>
    <w:p>
      <w:pPr>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十二、国有资产占用情况</w:t>
      </w:r>
    </w:p>
    <w:p>
      <w:p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截至2020 年12 月31 日，本部门共有车辆0 辆，其中，部级领导干部用车0 辆、一般公务用车0 辆、一般执法执勤用车0 辆、特种专业技术用车0 辆、其他用车0 辆；单位价值50 万元以上通用设备0 台（套），单价100 万元以上专用设备0 台（套）。</w:t>
      </w:r>
    </w:p>
    <w:p>
      <w:pPr>
        <w:pStyle w:val="10"/>
        <w:rPr>
          <w:rFonts w:hAnsi="黑体"/>
          <w:b/>
          <w:sz w:val="32"/>
          <w:szCs w:val="32"/>
        </w:rPr>
      </w:pPr>
      <w:r>
        <w:rPr>
          <w:rFonts w:hint="eastAsia" w:hAnsi="黑体"/>
          <w:b/>
          <w:sz w:val="32"/>
          <w:szCs w:val="32"/>
          <w:lang w:eastAsia="zh-CN"/>
        </w:rPr>
        <w:t>十三、</w:t>
      </w:r>
      <w:r>
        <w:rPr>
          <w:rFonts w:hint="eastAsia" w:hAnsi="黑体"/>
          <w:b/>
          <w:sz w:val="32"/>
          <w:szCs w:val="32"/>
        </w:rPr>
        <w:t>关于</w:t>
      </w:r>
      <w:r>
        <w:rPr>
          <w:rFonts w:hint="eastAsia" w:hAnsi="黑体"/>
          <w:b/>
          <w:sz w:val="32"/>
          <w:szCs w:val="32"/>
          <w:lang w:eastAsia="zh-CN"/>
        </w:rPr>
        <w:t>2021年</w:t>
      </w:r>
      <w:r>
        <w:rPr>
          <w:rFonts w:hint="eastAsia" w:hAnsi="黑体"/>
          <w:b/>
          <w:sz w:val="32"/>
          <w:szCs w:val="32"/>
        </w:rPr>
        <w:t>度预算绩效情况的说明</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预算绩效管理开展情况，配合财政各部门建立并完善国库单一账户体系；监督单位预算指标与用款计划的执行；监控财政资金的支付过程；承担财政资金的审核、支付工作，提供预算执行信息；负责财政支付系统内部的监督检查及各重点工程财务核算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绩效目标，根据指标支付好各预算单位的资金业务；指导各预算单位相关业务工作；日清月结，与银行和财政局做好日常清算工作;做好支付改革深化工作。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绩效评价报告，我单位充分履行职责职能,严格按财经法规及制度使用、管理资金,成效明显,主要体现在以下几个方面：</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 一是狠抓资金使用效益。表现在:一是保障了职工工资,津补贴的及时足额发放,没有出现拖欠职工工资现象；二是保障了单位的正常运转,各项工作开展顺利；三是资金使用无虚列支出及随意使用现象,无大额现金支付现象。</w:t>
      </w:r>
    </w:p>
    <w:p>
      <w:pPr>
        <w:keepNext w:val="0"/>
        <w:keepLines w:val="0"/>
        <w:pageBreakBefore w:val="0"/>
        <w:widowControl/>
        <w:kinsoku/>
        <w:wordWrap/>
        <w:overflowPunct/>
        <w:topLinePunct w:val="0"/>
        <w:bidi w:val="0"/>
        <w:snapToGrid/>
        <w:spacing w:line="600" w:lineRule="exact"/>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     二是效率性高，用有限的资金全力保障了本单位落实为民办实事,绩效考核评估等指标全面完成。</w:t>
      </w:r>
    </w:p>
    <w:p>
      <w:pPr>
        <w:widowControl/>
        <w:jc w:val="left"/>
        <w:rPr>
          <w:rFonts w:ascii="仿宋" w:hAnsi="仿宋" w:eastAsia="仿宋" w:cs="黑体"/>
          <w:color w:val="000000"/>
          <w:kern w:val="0"/>
          <w:sz w:val="30"/>
          <w:szCs w:val="30"/>
        </w:rPr>
      </w:pPr>
      <w:r>
        <w:rPr>
          <w:rFonts w:ascii="仿宋" w:hAnsi="仿宋" w:eastAsia="仿宋" w:cs="黑体"/>
          <w:color w:val="000000"/>
          <w:kern w:val="0"/>
          <w:sz w:val="30"/>
          <w:szCs w:val="30"/>
        </w:rPr>
        <w:br w:type="page"/>
      </w:r>
    </w:p>
    <w:p>
      <w:pPr>
        <w:keepNext w:val="0"/>
        <w:keepLines w:val="0"/>
        <w:pageBreakBefore w:val="0"/>
        <w:widowControl/>
        <w:kinsoku/>
        <w:wordWrap/>
        <w:overflowPunct/>
        <w:topLinePunct w:val="0"/>
        <w:bidi w:val="0"/>
        <w:snapToGrid/>
        <w:spacing w:line="600" w:lineRule="exact"/>
        <w:textAlignment w:val="auto"/>
        <w:rPr>
          <w:rFonts w:hint="eastAsia" w:cs="黑体" w:asciiTheme="minorEastAsia" w:hAnsiTheme="minorEastAsia" w:eastAsiaTheme="minorEastAsia"/>
          <w:color w:val="000000"/>
          <w:kern w:val="0"/>
          <w:sz w:val="32"/>
          <w:szCs w:val="32"/>
          <w:lang w:val="en-US" w:eastAsia="zh-CN" w:bidi="ar-SA"/>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pageBreakBefore w:val="0"/>
        <w:kinsoku/>
        <w:wordWrap/>
        <w:overflowPunct/>
        <w:topLinePunct w:val="0"/>
        <w:bidi w:val="0"/>
        <w:snapToGrid/>
        <w:spacing w:before="0" w:beforeAutospacing="0" w:after="0" w:afterAutospacing="0"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一、机关运行经费 </w:t>
      </w:r>
    </w:p>
    <w:p>
      <w:pPr>
        <w:pStyle w:val="5"/>
        <w:keepNext w:val="0"/>
        <w:keepLines w:val="0"/>
        <w:pageBreakBefore w:val="0"/>
        <w:kinsoku/>
        <w:wordWrap/>
        <w:overflowPunct/>
        <w:topLinePunct w:val="0"/>
        <w:bidi w:val="0"/>
        <w:snapToGrid/>
        <w:spacing w:before="0" w:beforeAutospacing="0" w:after="0" w:afterAutospacing="0"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 </w:t>
      </w:r>
    </w:p>
    <w:p>
      <w:pPr>
        <w:pStyle w:val="5"/>
        <w:keepNext w:val="0"/>
        <w:keepLines w:val="0"/>
        <w:pageBreakBefore w:val="0"/>
        <w:kinsoku/>
        <w:wordWrap/>
        <w:overflowPunct/>
        <w:topLinePunct w:val="0"/>
        <w:bidi w:val="0"/>
        <w:snapToGrid/>
        <w:spacing w:before="0" w:beforeAutospacing="0" w:after="0" w:afterAutospacing="0"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二、“三公”经费 </w:t>
      </w:r>
    </w:p>
    <w:p>
      <w:pPr>
        <w:pStyle w:val="5"/>
        <w:keepNext w:val="0"/>
        <w:keepLines w:val="0"/>
        <w:pageBreakBefore w:val="0"/>
        <w:kinsoku/>
        <w:wordWrap/>
        <w:overflowPunct/>
        <w:topLinePunct w:val="0"/>
        <w:bidi w:val="0"/>
        <w:snapToGrid/>
        <w:spacing w:before="0" w:beforeAutospacing="0" w:after="0" w:afterAutospacing="0"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纳入州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lang w:eastAsia="zh-CN"/>
        </w:rPr>
        <w:t>2021年</w:t>
      </w:r>
      <w:r>
        <w:rPr>
          <w:rFonts w:hint="eastAsia" w:cs="黑体" w:asciiTheme="minorEastAsia" w:hAnsiTheme="minorEastAsia"/>
          <w:b/>
          <w:bCs/>
          <w:color w:val="000000"/>
          <w:kern w:val="0"/>
          <w:sz w:val="32"/>
          <w:szCs w:val="32"/>
        </w:rPr>
        <w:t>度部门整体支出绩效评价报告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2021年</w:t>
      </w:r>
      <w:r>
        <w:rPr>
          <w:rFonts w:hint="eastAsia" w:cs="黑体" w:asciiTheme="minorEastAsia" w:hAnsiTheme="minorEastAsia"/>
          <w:color w:val="000000"/>
          <w:kern w:val="0"/>
          <w:sz w:val="32"/>
          <w:szCs w:val="32"/>
        </w:rPr>
        <w:t>度部门整体支出绩效评价报告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我乡对</w:t>
      </w:r>
      <w:r>
        <w:rPr>
          <w:rFonts w:hint="eastAsia" w:cs="黑体" w:asciiTheme="minorEastAsia" w:hAnsiTheme="minorEastAsia"/>
          <w:color w:val="000000"/>
          <w:kern w:val="0"/>
          <w:sz w:val="32"/>
          <w:szCs w:val="32"/>
          <w:lang w:eastAsia="zh-CN"/>
        </w:rPr>
        <w:t>2021年</w:t>
      </w:r>
      <w:r>
        <w:rPr>
          <w:rFonts w:hint="eastAsia" w:cs="黑体" w:asciiTheme="minorEastAsia" w:hAnsiTheme="minorEastAsia"/>
          <w:color w:val="000000"/>
          <w:kern w:val="0"/>
          <w:sz w:val="32"/>
          <w:szCs w:val="32"/>
        </w:rPr>
        <w:t>度部门整体支出绩效进行了合理评价，现将有关情况报告如下。</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(一)部门职责</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1、促进经济发展。制定实施本乡乡经济发展规划，发展壮大农村集体经济，大力发展农村个体私营等非公有制经济，推进农村市场经济体系的建设，促进农民增收。</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加强社会管理。制定实施本乡社会发展规划，负责管理教育、科技、文化、卫生、体育等社会事业和计划生育、民政、城乡管理、村乡建设、道路建设、交通秩序等管理工作，依法指导和帮助社会民间组织健康发展，配合上级有关部门做好安全生产、国土资源管理、环境保护和市场监管等工作，加强对上级部门派驻机构的协调和监督，强化乡乡财政、村级财务和集体资产的监督管理，建立健全减轻农民负担的监督管理机制，完善农村社会救助和保障体系，建立防灾减灾等区域性、突发性事件的处置工作机制。</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搞好公共服务。加强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维护社会稳定。加强社会治安综合治理，综合协调平安建设工作，强化信访、调解工作，化解农村社会矛盾，维护社会秩序；抓好法制宣传和普法教育，增强干部群众的法制意识，保护各种经济组织的合法权益和公民的合法财产，保障公民人身权利、民主权利和其他权利。</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巩固基层政权。加强党的思想建设、组织建设、作风建设和制度建设，强化乡人大对乡政府的监督，切实加强和改进对村级党组织的领导和对村民委员会的指导，扩大和健全农村基层民主，充分发挥工会、共青团、妇联等群众团体的桥梁纽带作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（二）机构人员情况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内设机构设置。</w:t>
      </w:r>
      <w:r>
        <w:rPr>
          <w:rFonts w:hint="eastAsia" w:cs="黑体" w:asciiTheme="minorEastAsia" w:hAnsiTheme="minorEastAsia"/>
          <w:color w:val="000000"/>
          <w:kern w:val="0"/>
          <w:sz w:val="32"/>
          <w:szCs w:val="32"/>
          <w:lang w:eastAsia="zh-CN"/>
        </w:rPr>
        <w:t>两林</w:t>
      </w:r>
      <w:r>
        <w:rPr>
          <w:rFonts w:hint="eastAsia" w:cs="黑体" w:asciiTheme="minorEastAsia" w:hAnsiTheme="minorEastAsia"/>
          <w:color w:val="000000"/>
          <w:kern w:val="0"/>
          <w:sz w:val="32"/>
          <w:szCs w:val="32"/>
        </w:rPr>
        <w:t>乡人民政府内设机构包括：机两林乡人民政府内设机构党政办公室、党建办公室、经济发展办公室、社会事务办公室、自然资源和生态环境办公室、社会治安和应急管理办公室；内设设置事业单位分别是社会事务综合服务中心、农业综合服务中心、政务（便民）服务中心、退役军人服务站、综合行政执法大队。根据编委核定：</w:t>
      </w:r>
      <w:r>
        <w:rPr>
          <w:rFonts w:hint="eastAsia" w:cs="黑体" w:asciiTheme="minorEastAsia" w:hAnsiTheme="minorEastAsia"/>
          <w:color w:val="000000"/>
          <w:kern w:val="0"/>
          <w:sz w:val="32"/>
          <w:szCs w:val="32"/>
          <w:lang w:eastAsia="zh-CN"/>
        </w:rPr>
        <w:t>两林</w:t>
      </w:r>
      <w:r>
        <w:rPr>
          <w:rFonts w:hint="eastAsia" w:cs="黑体" w:asciiTheme="minorEastAsia" w:hAnsiTheme="minorEastAsia"/>
          <w:color w:val="000000"/>
          <w:kern w:val="0"/>
          <w:sz w:val="32"/>
          <w:szCs w:val="32"/>
        </w:rPr>
        <w:t>乡人民政府全额拨款行政单位，核定编制</w:t>
      </w:r>
      <w:r>
        <w:rPr>
          <w:rFonts w:hint="eastAsia" w:cs="黑体" w:asciiTheme="minorEastAsia" w:hAnsiTheme="minorEastAsia"/>
          <w:color w:val="000000"/>
          <w:kern w:val="0"/>
          <w:sz w:val="32"/>
          <w:szCs w:val="32"/>
          <w:lang w:val="en-US" w:eastAsia="zh-CN"/>
        </w:rPr>
        <w:t>48</w:t>
      </w:r>
      <w:r>
        <w:rPr>
          <w:rFonts w:hint="eastAsia" w:cs="黑体" w:asciiTheme="minorEastAsia" w:hAnsiTheme="minorEastAsia"/>
          <w:color w:val="000000"/>
          <w:kern w:val="0"/>
          <w:sz w:val="32"/>
          <w:szCs w:val="32"/>
        </w:rPr>
        <w:t>人，其中全额编</w:t>
      </w:r>
      <w:r>
        <w:rPr>
          <w:rFonts w:hint="eastAsia" w:cs="黑体" w:asciiTheme="minorEastAsia" w:hAnsiTheme="minorEastAsia"/>
          <w:color w:val="000000"/>
          <w:kern w:val="0"/>
          <w:sz w:val="32"/>
          <w:szCs w:val="32"/>
          <w:lang w:val="en-US" w:eastAsia="zh-CN"/>
        </w:rPr>
        <w:t>48</w:t>
      </w:r>
      <w:r>
        <w:rPr>
          <w:rFonts w:hint="eastAsia" w:cs="黑体" w:asciiTheme="minorEastAsia" w:hAnsiTheme="minorEastAsia"/>
          <w:color w:val="000000"/>
          <w:kern w:val="0"/>
          <w:sz w:val="32"/>
          <w:szCs w:val="32"/>
        </w:rPr>
        <w:t>人，差额编0人，自筹编0人。年末实有</w:t>
      </w:r>
      <w:r>
        <w:rPr>
          <w:rFonts w:hint="eastAsia" w:cs="黑体" w:asciiTheme="minorEastAsia" w:hAnsiTheme="minorEastAsia"/>
          <w:color w:val="000000"/>
          <w:kern w:val="0"/>
          <w:sz w:val="32"/>
          <w:szCs w:val="32"/>
          <w:lang w:val="en-US" w:eastAsia="zh-CN"/>
        </w:rPr>
        <w:t>38</w:t>
      </w:r>
      <w:r>
        <w:rPr>
          <w:rFonts w:hint="eastAsia" w:cs="黑体" w:asciiTheme="minorEastAsia" w:hAnsiTheme="minorEastAsia"/>
          <w:color w:val="000000"/>
          <w:kern w:val="0"/>
          <w:sz w:val="32"/>
          <w:szCs w:val="32"/>
        </w:rPr>
        <w:t>人。提前</w:t>
      </w:r>
      <w:r>
        <w:rPr>
          <w:rFonts w:hint="eastAsia" w:cs="黑体" w:asciiTheme="minorEastAsia" w:hAnsiTheme="minorEastAsia"/>
          <w:color w:val="000000"/>
          <w:kern w:val="0"/>
          <w:sz w:val="32"/>
          <w:szCs w:val="32"/>
          <w:lang w:eastAsia="zh-CN"/>
        </w:rPr>
        <w:t>退休</w:t>
      </w:r>
      <w:r>
        <w:rPr>
          <w:rFonts w:hint="eastAsia" w:cs="黑体" w:asciiTheme="minorEastAsia" w:hAnsiTheme="minorEastAsia"/>
          <w:color w:val="000000"/>
          <w:kern w:val="0"/>
          <w:sz w:val="32"/>
          <w:szCs w:val="32"/>
        </w:rPr>
        <w:t>人员</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人。离休人员0人，退休人员</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人，遗属4人。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hint="eastAsia" w:cs="黑体" w:asciiTheme="minorEastAsia" w:hAnsiTheme="minorEastAsia"/>
          <w:color w:val="000000"/>
          <w:kern w:val="0"/>
          <w:sz w:val="32"/>
          <w:szCs w:val="32"/>
          <w:lang w:eastAsia="zh-CN"/>
        </w:rPr>
        <w:t>2021年</w:t>
      </w:r>
      <w:r>
        <w:rPr>
          <w:rFonts w:hint="eastAsia" w:cs="黑体" w:asciiTheme="minorEastAsia" w:hAnsiTheme="minorEastAsia"/>
          <w:color w:val="000000"/>
          <w:kern w:val="0"/>
          <w:sz w:val="32"/>
          <w:szCs w:val="32"/>
        </w:rPr>
        <w:t>重点工作成效</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lang w:eastAsia="zh-CN"/>
        </w:rPr>
        <w:t>2021年</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两林</w:t>
      </w:r>
      <w:r>
        <w:rPr>
          <w:rFonts w:hint="eastAsia" w:cs="黑体" w:asciiTheme="minorEastAsia" w:hAnsiTheme="minorEastAsia"/>
          <w:color w:val="000000"/>
          <w:kern w:val="0"/>
          <w:sz w:val="32"/>
          <w:szCs w:val="32"/>
        </w:rPr>
        <w:t>乡在县委县政府的正确领导下，坚持以习近平新时代中国特色社会主义思想为指导，积极应对各种复杂形势，应对各种挑战，聚焦脱贫攻坚全面小康的总目标，加强基层党建、夯实农业基础、推进项目建设、改善民生环境、强化社会稳定、统筹社会发展，做了一系列打基础、管长远的工作，全乡上下团结拼搏、真抓实干、砥砺前行，实现了全乡经济社会持续、稳步、健康发展。</w:t>
      </w:r>
    </w:p>
    <w:p>
      <w:pPr>
        <w:numPr>
          <w:ilvl w:val="0"/>
          <w:numId w:val="4"/>
        </w:num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 xml:space="preserve">部门整体支出情况 </w:t>
      </w:r>
      <w:r>
        <w:rPr>
          <w:rFonts w:hint="eastAsia" w:cs="黑体" w:asciiTheme="minorEastAsia" w:hAnsiTheme="minorEastAsia"/>
          <w:color w:val="000000"/>
          <w:kern w:val="0"/>
          <w:sz w:val="32"/>
          <w:szCs w:val="32"/>
          <w:lang w:val="en-US" w:eastAsia="zh-CN"/>
        </w:rPr>
        <w:t>.</w:t>
      </w:r>
    </w:p>
    <w:p>
      <w:pPr>
        <w:numPr>
          <w:ilvl w:val="0"/>
          <w:numId w:val="0"/>
        </w:numPr>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度收入合计1190.53万元，与2020年1380.52万元相比，收入减少189.99万元，下降13.76%，主要是因为扶贫项目的投入以及土地增减挂钩工作经费拨入。支出合计1245.21万元，与2020年1482.11万元相比，支出减少236.9万元，下降15.98%，主要是因为扶贫项目的支出以及土地增减挂钩工作经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三、资金管理及使用情况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预算绩效管理开展情况，配合财政各部门建立并完善国库单一账户体系；监督单位预算指标与用款计划的执行；监控财政资金的支付过程；承担财政资金的审核、支付工作，提供预算执行信息；负责财政支付系统内部的监督检查及各重点工程财务核算工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绩效目标，根据指标支付好各预算单位的资金业务；指导各预算单位相关业务工作；日清月结，与银行和财政局做好日常清算工作;做好支付改革深化工作。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在部门整体支出绩效评价报告中，我单位充分履行职责职能,严格按财经纪律及财务制度使用、管理资金,取得明显成效,主要体现在以下几个方面：</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是做到财政政策和财政资金落到实处。表现在保障了职工工资,津补贴的及时足额发放,没有出现拖欠职工工资现象；严格落实“三保工作”要求，优先安排民生资金支出，将民生资金落实到位；并保障了单位的正常运转,各项工作开展顺利，使本单位落实为民办实事,绩效考核评估等指标全面完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二是做到严守财经纪律。资金使用无虚列支出及随意使用现象,用有限的资金全力保障了本单位落实为民办实事。</w:t>
      </w: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四、绩效评价工作情况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（一）绩效评价目的</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本次绩效评价的目的是为了全面分析和综合评价我乡预算资金的使用管理情况，为切实提高资金使用效益，强化预算支出的责任和效率提供参考依据。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（二）绩效评价工作过程</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们按照绩效评价规定要求成立评价小组，组织实施和分析评价，采取座谈等方式听取情况，检查基本支出、项目支出有关账目，收集整理支出相关资料，并根据各部门报送的绩效自评材料进行分析，形成评价结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五、部门整体支出绩效评价</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2021年</w:t>
      </w:r>
      <w:r>
        <w:rPr>
          <w:rFonts w:hint="eastAsia" w:cs="黑体" w:asciiTheme="minorEastAsia" w:hAnsiTheme="minorEastAsia"/>
          <w:color w:val="000000"/>
          <w:kern w:val="0"/>
          <w:sz w:val="32"/>
          <w:szCs w:val="32"/>
        </w:rPr>
        <w:t>，根据年初工作规划和重点性工作，全所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（一）经济效益评价</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1、预算执行方面，支出总额控制在预算总额以内（不含后期增加的专项预算资金）；2020 年度“三公”经费财政拨款支出预算为</w:t>
      </w:r>
      <w:r>
        <w:rPr>
          <w:rFonts w:hint="eastAsia" w:cs="黑体" w:asciiTheme="minorEastAsia" w:hAnsiTheme="minorEastAsia"/>
          <w:color w:val="000000"/>
          <w:kern w:val="0"/>
          <w:sz w:val="32"/>
          <w:szCs w:val="32"/>
          <w:lang w:val="en-US" w:eastAsia="zh-CN"/>
        </w:rPr>
        <w:t>4.2</w:t>
      </w:r>
      <w:r>
        <w:rPr>
          <w:rFonts w:hint="eastAsia" w:cs="黑体" w:asciiTheme="minorEastAsia" w:hAnsiTheme="minorEastAsia"/>
          <w:color w:val="000000"/>
          <w:kern w:val="0"/>
          <w:sz w:val="32"/>
          <w:szCs w:val="32"/>
        </w:rPr>
        <w:t>万元，支出决算为</w:t>
      </w:r>
      <w:r>
        <w:rPr>
          <w:rFonts w:hint="eastAsia" w:cs="黑体" w:asciiTheme="minorEastAsia" w:hAnsiTheme="minorEastAsia"/>
          <w:color w:val="000000"/>
          <w:kern w:val="0"/>
          <w:sz w:val="32"/>
          <w:szCs w:val="32"/>
          <w:lang w:val="en-US" w:eastAsia="zh-CN"/>
        </w:rPr>
        <w:t>4.17</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99.29</w:t>
      </w:r>
      <w:r>
        <w:rPr>
          <w:rFonts w:hint="eastAsia" w:cs="黑体" w:asciiTheme="minorEastAsia" w:hAnsiTheme="minorEastAsia"/>
          <w:color w:val="000000"/>
          <w:kern w:val="0"/>
          <w:sz w:val="32"/>
          <w:szCs w:val="32"/>
        </w:rPr>
        <w:t>%。</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2、预算管理方面，制度执行总体较为有效。</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3、资产管理方面，建立了资产管理制度，定期进行了盘点和资产清理，总体执行较好。</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（二）效率性评价和有效性评价</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六、存在的主要问题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1、财务制度执行力有待加强，资金使用计划有待细化。</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2、财政预算资金到位比较迟缓，各项目经费支付不能及时到位。</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七、改进措施及下一步工作计划</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1、继续从严控制出国(境)经费、车辆购置及运行费、公务接待费等一般性支出。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2、加强财务管理，严格财务审核。在费用报账支付时，按照预算规定的费用项目和用途进行资金使用审核、列报支付、财务核算，杜绝超支现象的发生。</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3、加强项目开展进度的跟踪，开展项目绩效评价，确保项目绩效目标的完成。</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7A38C"/>
    <w:multiLevelType w:val="singleLevel"/>
    <w:tmpl w:val="ABB7A38C"/>
    <w:lvl w:ilvl="0" w:tentative="0">
      <w:start w:val="1"/>
      <w:numFmt w:val="decimal"/>
      <w:suff w:val="nothing"/>
      <w:lvlText w:val="%1、"/>
      <w:lvlJc w:val="left"/>
    </w:lvl>
  </w:abstractNum>
  <w:abstractNum w:abstractNumId="1">
    <w:nsid w:val="0C26C347"/>
    <w:multiLevelType w:val="singleLevel"/>
    <w:tmpl w:val="0C26C347"/>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93D621"/>
    <w:multiLevelType w:val="singleLevel"/>
    <w:tmpl w:val="7B93D62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YmY4YjJiNTVjYzc2OTQ5YWI3MTM5YmU1Njg0NWU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6F5710"/>
    <w:rsid w:val="01A41399"/>
    <w:rsid w:val="04465C9E"/>
    <w:rsid w:val="046B666C"/>
    <w:rsid w:val="062667BB"/>
    <w:rsid w:val="06BC2B51"/>
    <w:rsid w:val="08752B74"/>
    <w:rsid w:val="093C78FE"/>
    <w:rsid w:val="0A7C5901"/>
    <w:rsid w:val="0A8D1DD7"/>
    <w:rsid w:val="0C2F18A5"/>
    <w:rsid w:val="0CAB5908"/>
    <w:rsid w:val="0EC46E87"/>
    <w:rsid w:val="0F434C62"/>
    <w:rsid w:val="11D50DEC"/>
    <w:rsid w:val="14BE6B04"/>
    <w:rsid w:val="177C3D80"/>
    <w:rsid w:val="1A8278FA"/>
    <w:rsid w:val="1BB31725"/>
    <w:rsid w:val="1C106A96"/>
    <w:rsid w:val="1CFA16B2"/>
    <w:rsid w:val="1D057759"/>
    <w:rsid w:val="1E876462"/>
    <w:rsid w:val="1F7D2FD1"/>
    <w:rsid w:val="205751C4"/>
    <w:rsid w:val="20A93D81"/>
    <w:rsid w:val="2335571C"/>
    <w:rsid w:val="23503E42"/>
    <w:rsid w:val="26126B0E"/>
    <w:rsid w:val="263E1772"/>
    <w:rsid w:val="26B96EEA"/>
    <w:rsid w:val="27997CB2"/>
    <w:rsid w:val="27E46C0A"/>
    <w:rsid w:val="27FD3A71"/>
    <w:rsid w:val="2D1231D2"/>
    <w:rsid w:val="2DFC4B9C"/>
    <w:rsid w:val="32097CF0"/>
    <w:rsid w:val="32867865"/>
    <w:rsid w:val="339E272F"/>
    <w:rsid w:val="34E6160D"/>
    <w:rsid w:val="35610DC9"/>
    <w:rsid w:val="38A00C7E"/>
    <w:rsid w:val="3CCE3833"/>
    <w:rsid w:val="41991B67"/>
    <w:rsid w:val="439E608D"/>
    <w:rsid w:val="47925F0D"/>
    <w:rsid w:val="49235501"/>
    <w:rsid w:val="49A17622"/>
    <w:rsid w:val="4E253AFC"/>
    <w:rsid w:val="4ED9024F"/>
    <w:rsid w:val="4FDB48EC"/>
    <w:rsid w:val="512C70B7"/>
    <w:rsid w:val="51A2332D"/>
    <w:rsid w:val="51AC4040"/>
    <w:rsid w:val="54476B04"/>
    <w:rsid w:val="59864946"/>
    <w:rsid w:val="5A635272"/>
    <w:rsid w:val="5AB72E27"/>
    <w:rsid w:val="5CEF0589"/>
    <w:rsid w:val="5D30158E"/>
    <w:rsid w:val="5EFB7D87"/>
    <w:rsid w:val="5F0A0B2F"/>
    <w:rsid w:val="65B702DB"/>
    <w:rsid w:val="66A27097"/>
    <w:rsid w:val="694112E6"/>
    <w:rsid w:val="6A11794F"/>
    <w:rsid w:val="6A71462F"/>
    <w:rsid w:val="6BC65423"/>
    <w:rsid w:val="6C6A06A8"/>
    <w:rsid w:val="6D1C3D4F"/>
    <w:rsid w:val="6D5050EF"/>
    <w:rsid w:val="6EEB6A47"/>
    <w:rsid w:val="6FE86762"/>
    <w:rsid w:val="762401C9"/>
    <w:rsid w:val="767D1DCA"/>
    <w:rsid w:val="78FA574D"/>
    <w:rsid w:val="7CED1E54"/>
    <w:rsid w:val="7D9028F0"/>
    <w:rsid w:val="7DEC1801"/>
    <w:rsid w:val="7E5811C7"/>
    <w:rsid w:val="7F9C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12771</Words>
  <Characters>16335</Characters>
  <Lines>62</Lines>
  <Paragraphs>17</Paragraphs>
  <TotalTime>1</TotalTime>
  <ScaleCrop>false</ScaleCrop>
  <LinksUpToDate>false</LinksUpToDate>
  <CharactersWithSpaces>16728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喵了个咪</cp:lastModifiedBy>
  <cp:lastPrinted>2021-07-28T00:12:00Z</cp:lastPrinted>
  <dcterms:modified xsi:type="dcterms:W3CDTF">2022-09-25T06:49:13Z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DB8951A2F7EC48209362609275906482</vt:lpwstr>
  </property>
</Properties>
</file>