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lang w:val="en-US" w:eastAsia="zh-CN"/>
        </w:rPr>
        <w:t>2021年度</w:t>
      </w:r>
      <w:r>
        <w:rPr>
          <w:rFonts w:hint="eastAsia" w:ascii="方正小标宋简体" w:hAnsi="方正小标宋简体" w:eastAsia="方正小标宋简体" w:cs="方正小标宋简体"/>
          <w:b w:val="0"/>
          <w:bCs w:val="0"/>
          <w:sz w:val="44"/>
          <w:szCs w:val="52"/>
        </w:rPr>
        <w:t>部门整体支出绩效评价报告</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一、部门、单位基本情况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楷体" w:hAnsi="楷体" w:eastAsia="楷体" w:cs="楷体"/>
          <w:b/>
          <w:bCs/>
          <w:sz w:val="32"/>
          <w:szCs w:val="40"/>
        </w:rPr>
        <w:t>(一)部门（单位）基本情况，部门职责概述</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 根据编委核定，林峰乡人民政府属全额拨款单位。核定编制45人，其中全额编40人，差额编0人，自筹编0人。年末实有44人。提前离岗人员0人。离休人员0人，退休人员8人。人员变化的主要原因是：1名人员退休、5名人员调入、3人调出，农技特岗进入2名事业人员，退伍安置进入1名事业人员，三支一扶转正1名事业人员。</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（二）部门（单位）部门支出规模、使用方向和主要内容、涉及范围</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1</w:t>
      </w:r>
      <w:r>
        <w:rPr>
          <w:rFonts w:hint="eastAsia" w:ascii="仿宋" w:hAnsi="仿宋" w:cs="仿宋"/>
          <w:sz w:val="32"/>
          <w:szCs w:val="40"/>
          <w:lang w:val="en-US" w:eastAsia="zh-CN"/>
        </w:rPr>
        <w:t>.</w:t>
      </w:r>
      <w:r>
        <w:rPr>
          <w:rFonts w:hint="eastAsia" w:ascii="仿宋" w:hAnsi="仿宋" w:eastAsia="仿宋" w:cs="仿宋"/>
          <w:b/>
          <w:bCs/>
          <w:sz w:val="32"/>
          <w:szCs w:val="40"/>
        </w:rPr>
        <w:t>年度资金收支决算情况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2021年收入实际完成</w:t>
      </w:r>
      <w:r>
        <w:rPr>
          <w:rFonts w:hint="eastAsia" w:ascii="仿宋" w:hAnsi="仿宋" w:cs="仿宋"/>
          <w:sz w:val="32"/>
          <w:szCs w:val="40"/>
          <w:lang w:val="en-US" w:eastAsia="zh-CN"/>
        </w:rPr>
        <w:t>1039.75</w:t>
      </w:r>
      <w:r>
        <w:rPr>
          <w:rFonts w:hint="eastAsia" w:ascii="仿宋" w:hAnsi="仿宋" w:eastAsia="仿宋" w:cs="仿宋"/>
          <w:sz w:val="32"/>
          <w:szCs w:val="40"/>
        </w:rPr>
        <w:t>万元，比上年增加</w:t>
      </w:r>
      <w:r>
        <w:rPr>
          <w:rFonts w:hint="eastAsia" w:ascii="仿宋" w:hAnsi="仿宋" w:cs="仿宋"/>
          <w:sz w:val="32"/>
          <w:szCs w:val="40"/>
          <w:lang w:val="en-US" w:eastAsia="zh-CN"/>
        </w:rPr>
        <w:t>193.93</w:t>
      </w:r>
      <w:r>
        <w:rPr>
          <w:rFonts w:hint="eastAsia" w:ascii="仿宋" w:hAnsi="仿宋" w:eastAsia="仿宋" w:cs="仿宋"/>
          <w:sz w:val="32"/>
          <w:szCs w:val="40"/>
        </w:rPr>
        <w:t>万元，上升</w:t>
      </w:r>
      <w:r>
        <w:rPr>
          <w:rFonts w:hint="eastAsia" w:ascii="仿宋" w:hAnsi="仿宋" w:cs="仿宋"/>
          <w:sz w:val="32"/>
          <w:szCs w:val="40"/>
          <w:lang w:val="en-US" w:eastAsia="zh-CN"/>
        </w:rPr>
        <w:t>23.12</w:t>
      </w:r>
      <w:bookmarkStart w:id="0" w:name="_GoBack"/>
      <w:bookmarkEnd w:id="0"/>
      <w:r>
        <w:rPr>
          <w:rFonts w:hint="eastAsia" w:ascii="仿宋" w:hAnsi="仿宋" w:eastAsia="仿宋" w:cs="仿宋"/>
          <w:sz w:val="32"/>
          <w:szCs w:val="40"/>
        </w:rPr>
        <w:t>%。主要原因是：人员增减变动及薪级变动、土地增减挂等。其中：一般公共预算财政拨款收入1038.26万元，比上年增加198.5万元，上升23.64%。变化的主要原因是：有土地增减挂钩资金，以及人员增减变动及薪级变动资金等。</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2021年，本单位支出1048.55万元，比上年增加194.5万元，上升22.77%；变化的主要原因：人员增减变动，总趋势上升，项目增多有土地增减挂钩资金。其中：基本支出完成685.58万元，比上年增加40.52万元，上升6.28%，变化的主要原因：人员增减变动，总趋势人员增加。项目支出362.97万元，比上年增加153.98万元，上升73.68%；变化的主要原因：本年度增加增减挂等各项目，有土地增减挂钩资金。人员经费完成569.17万元，比上年增加38.76万元，增加7.3%，变化的主要原因：人员增减变动，总趋势上升；公用经费完成116.40万元，比上年增加1.75万元，增加1.53%，变化的主要原因：人员增减变动，总趋势上升，日常公用经费增加；每个村扶贫工作队工作经费一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2</w:t>
      </w:r>
      <w:r>
        <w:rPr>
          <w:rFonts w:hint="eastAsia" w:ascii="仿宋" w:hAnsi="仿宋" w:cs="仿宋"/>
          <w:sz w:val="32"/>
          <w:szCs w:val="40"/>
          <w:lang w:val="en-US" w:eastAsia="zh-CN"/>
        </w:rPr>
        <w:t>.</w:t>
      </w:r>
      <w:r>
        <w:rPr>
          <w:rFonts w:hint="eastAsia" w:ascii="仿宋" w:hAnsi="仿宋" w:eastAsia="仿宋" w:cs="仿宋"/>
          <w:b/>
          <w:bCs/>
          <w:sz w:val="32"/>
          <w:szCs w:val="40"/>
        </w:rPr>
        <w:t>“三公经费”支出使用和管理情况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2021年，“三公”经费完成60655.4元，全部为公务接待费，比上年减少96.6元，减少0.16%，增减变化的主要原因是：本单位严格控制三公经费，减少接待费开支。</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3</w:t>
      </w:r>
      <w:r>
        <w:rPr>
          <w:rFonts w:hint="eastAsia" w:ascii="仿宋" w:hAnsi="仿宋" w:cs="仿宋"/>
          <w:sz w:val="32"/>
          <w:szCs w:val="40"/>
          <w:lang w:val="en-US" w:eastAsia="zh-CN"/>
        </w:rPr>
        <w:t>.</w:t>
      </w:r>
      <w:r>
        <w:rPr>
          <w:rFonts w:hint="eastAsia" w:ascii="仿宋" w:hAnsi="仿宋" w:eastAsia="仿宋" w:cs="仿宋"/>
          <w:b/>
          <w:bCs/>
          <w:sz w:val="32"/>
          <w:szCs w:val="40"/>
        </w:rPr>
        <w:t>部门资产配置情况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截至 2021 年 12月31日，我单位行政单位国有资产53.32万元，占 15.81%；流动资产283.9 万元，较上年增长26.68%，占资产总额 84.19%； 固定资产53.32万元，较上年增长-0.32%， 占资产总额 15.81% ；土地、房屋及构筑物38.84万元，占固定资产的 72.84% （其中，房屋 38.84万元，占固定资产的 72.84% ）； 通用设备 6.86 万元，占 12.87%， 专用设备2.97万元，占 5.5% ； 家具、用具、装具及动植物 4.63万元，占 8.7 % 。</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cs="仿宋"/>
          <w:b/>
          <w:bCs/>
          <w:sz w:val="32"/>
          <w:szCs w:val="40"/>
          <w:lang w:val="en-US" w:eastAsia="zh-CN"/>
        </w:rPr>
        <w:t>4.</w:t>
      </w:r>
      <w:r>
        <w:rPr>
          <w:rFonts w:hint="eastAsia" w:ascii="仿宋" w:hAnsi="仿宋" w:eastAsia="仿宋" w:cs="仿宋"/>
          <w:b/>
          <w:bCs/>
          <w:sz w:val="32"/>
          <w:szCs w:val="40"/>
        </w:rPr>
        <w:t>部门政府采购情况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 截止2021年12月31日，新购高拍仪三台，合计0.9万元；新购饮水器一台，合计0.12万元；新购空调一台，合计0.58万元；新购办公桌椅1.95万元；扶贫832平台采购0.75万元。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5</w:t>
      </w:r>
      <w:r>
        <w:rPr>
          <w:rFonts w:hint="eastAsia" w:ascii="仿宋" w:hAnsi="仿宋" w:cs="仿宋"/>
          <w:sz w:val="32"/>
          <w:szCs w:val="40"/>
          <w:lang w:val="en-US" w:eastAsia="zh-CN"/>
        </w:rPr>
        <w:t>.</w:t>
      </w:r>
      <w:r>
        <w:rPr>
          <w:rFonts w:hint="eastAsia" w:ascii="仿宋" w:hAnsi="仿宋" w:eastAsia="仿宋" w:cs="仿宋"/>
          <w:b/>
          <w:bCs/>
          <w:sz w:val="32"/>
          <w:szCs w:val="40"/>
        </w:rPr>
        <w:t>公用经费执行情况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截止2021年12月31日，合计支出72.1万元，其中办公费10.4万元，印刷费6.9万元，水费0.36万元，电费1.3万元，差旅费1.87万元，维修费0.48万元，会议费0.57万元，会务接待费6.06万元，工会经费1.74万元，其他交通费用15.87万元，其他商品服务支出26.55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4" w:firstLineChars="200"/>
        <w:textAlignment w:val="auto"/>
        <w:rPr>
          <w:rFonts w:hint="default" w:ascii="仿宋" w:hAnsi="仿宋" w:eastAsia="仿宋" w:cs="仿宋"/>
          <w:b/>
          <w:bCs/>
          <w:sz w:val="32"/>
          <w:szCs w:val="40"/>
          <w:lang w:val="en-US" w:eastAsia="zh-CN"/>
        </w:rPr>
      </w:pPr>
      <w:r>
        <w:rPr>
          <w:rFonts w:hint="eastAsia" w:ascii="仿宋" w:hAnsi="仿宋" w:eastAsia="仿宋" w:cs="仿宋"/>
          <w:b/>
          <w:bCs/>
          <w:sz w:val="32"/>
          <w:szCs w:val="40"/>
        </w:rPr>
        <w:t>绩效目标申报情况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40"/>
          <w:lang w:val="en-US" w:eastAsia="zh-CN"/>
        </w:rPr>
      </w:pPr>
      <w:r>
        <w:rPr>
          <w:rFonts w:hint="eastAsia" w:ascii="仿宋" w:hAnsi="仿宋" w:cs="仿宋"/>
          <w:b/>
          <w:bCs/>
          <w:sz w:val="32"/>
          <w:szCs w:val="40"/>
          <w:lang w:val="en-US" w:eastAsia="zh-CN"/>
        </w:rPr>
        <w:t xml:space="preserve">    </w:t>
      </w:r>
      <w:r>
        <w:rPr>
          <w:rFonts w:hint="eastAsia" w:ascii="仿宋" w:hAnsi="仿宋" w:eastAsia="仿宋" w:cs="仿宋"/>
          <w:sz w:val="32"/>
          <w:szCs w:val="40"/>
          <w:lang w:val="en-US" w:eastAsia="zh-CN"/>
        </w:rPr>
        <w:t>整体</w:t>
      </w:r>
      <w:r>
        <w:rPr>
          <w:rFonts w:hint="eastAsia" w:ascii="仿宋" w:hAnsi="仿宋" w:cs="仿宋"/>
          <w:sz w:val="32"/>
          <w:szCs w:val="40"/>
          <w:lang w:val="en-US" w:eastAsia="zh-CN"/>
        </w:rPr>
        <w:t>绩效目标申报1048.55万元，其中基本支出人员工资及工作经费685.58万元，项目支出362.97万元。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仿宋" w:hAnsi="仿宋" w:eastAsia="仿宋" w:cs="仿宋"/>
          <w:sz w:val="32"/>
          <w:szCs w:val="40"/>
        </w:rPr>
        <w:t xml:space="preserve"> </w:t>
      </w:r>
      <w:r>
        <w:rPr>
          <w:rFonts w:hint="eastAsia" w:ascii="黑体" w:hAnsi="黑体" w:eastAsia="黑体" w:cs="黑体"/>
          <w:sz w:val="32"/>
          <w:szCs w:val="40"/>
        </w:rPr>
        <w:t>二、一般公共预算支出情况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 基本支出完成685.58万元，比上年增加40.52万元，上升6.28%，其中工资福利支出399.39万元，主要包括基本工资、津贴补贴、奖金、单位养老保险、职业年金、基本医疗、其他社会保障缴费、公积金、其他工资。商品和服务支出116.4万元，主要包括办公费、印刷费、水电费、差旅费、维护费、会议费、公务接待费、工会经费、其他交通费用、其他商品和服务支出。对个人和家庭的补助169.79万元，主要包括抚恤金、生活补助、奖励金。</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1</w:t>
      </w:r>
      <w:r>
        <w:rPr>
          <w:rFonts w:hint="eastAsia" w:ascii="仿宋" w:hAnsi="仿宋" w:cs="仿宋"/>
          <w:sz w:val="32"/>
          <w:szCs w:val="40"/>
          <w:lang w:val="en-US" w:eastAsia="zh-CN"/>
        </w:rPr>
        <w:t>.</w:t>
      </w:r>
      <w:r>
        <w:rPr>
          <w:rFonts w:hint="eastAsia" w:ascii="仿宋" w:hAnsi="仿宋" w:eastAsia="仿宋" w:cs="仿宋"/>
          <w:b/>
          <w:bCs/>
          <w:sz w:val="32"/>
          <w:szCs w:val="40"/>
        </w:rPr>
        <w:t>年度专项资金收支情况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2021年度我乡专项资金收入362.97万元，一般公共服务支出39.2万元，其中一般行政管理事务25.71万元，一般行政管理事务12.7万元，其他财政事务支出0.8万元。农林水支出323.77万元，其中一般行政管理事务16万元，农村基础设施建设291.42万元，其他扶贫支出0.34万元，农村综合改革16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2</w:t>
      </w:r>
      <w:r>
        <w:rPr>
          <w:rFonts w:hint="eastAsia" w:ascii="仿宋" w:hAnsi="仿宋" w:cs="仿宋"/>
          <w:sz w:val="32"/>
          <w:szCs w:val="40"/>
          <w:lang w:val="en-US" w:eastAsia="zh-CN"/>
        </w:rPr>
        <w:t>.</w:t>
      </w:r>
      <w:r>
        <w:rPr>
          <w:rFonts w:hint="eastAsia" w:ascii="仿宋" w:hAnsi="仿宋" w:eastAsia="仿宋" w:cs="仿宋"/>
          <w:b/>
          <w:bCs/>
          <w:sz w:val="32"/>
          <w:szCs w:val="40"/>
        </w:rPr>
        <w:t>项目资金使用情况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2021年度我乡专项资金支出362.97万元，其中支出信访维稳、执法办案、财政建设工作经费25.71万元，乡镇2020年年终绩效奖励10万元、财政所奖励工作经费12.7万元，支农政策培训经费0.8万元，精准脱贫工作保障经费16万元，城乡建设用地增减挂钩经费291.42万元，防返贫致贫0.34万元，村级服务群众专项经费16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3</w:t>
      </w:r>
      <w:r>
        <w:rPr>
          <w:rFonts w:hint="eastAsia" w:ascii="仿宋" w:hAnsi="仿宋" w:cs="仿宋"/>
          <w:sz w:val="32"/>
          <w:szCs w:val="40"/>
          <w:lang w:val="en-US" w:eastAsia="zh-CN"/>
        </w:rPr>
        <w:t>.</w:t>
      </w:r>
      <w:r>
        <w:rPr>
          <w:rFonts w:hint="eastAsia" w:ascii="仿宋" w:hAnsi="仿宋" w:eastAsia="仿宋" w:cs="仿宋"/>
          <w:b/>
          <w:bCs/>
          <w:sz w:val="32"/>
          <w:szCs w:val="40"/>
        </w:rPr>
        <w:t>项目管理情况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各项项目在资金使用方面我乡严格按照国家财经法规、预算资金管理办法、财务管理制度以及省级政府对财政专项资金管理有关法规的规定执行，做到专款专用，确保资金支出的真实性、安全性、合理性，从而保证各项目正常运行。</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三、政府性基金预算支出情况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2021年无政府性基金预算支出。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四、国有资本经营预算支出情况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2021年无国有资本经营预算支出。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黑体" w:hAnsi="黑体" w:eastAsia="黑体" w:cs="黑体"/>
          <w:sz w:val="32"/>
          <w:szCs w:val="40"/>
        </w:rPr>
        <w:t>五、社会保险基金预算支出情况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2021无社会保险基金预算支出。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黑体" w:hAnsi="黑体" w:eastAsia="黑体" w:cs="黑体"/>
          <w:sz w:val="32"/>
          <w:szCs w:val="40"/>
          <w:lang w:eastAsia="zh-CN"/>
        </w:rPr>
        <w:t>六、</w:t>
      </w:r>
      <w:r>
        <w:rPr>
          <w:rFonts w:hint="eastAsia" w:ascii="黑体" w:hAnsi="黑体" w:eastAsia="黑体" w:cs="黑体"/>
          <w:sz w:val="32"/>
          <w:szCs w:val="40"/>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楷体" w:hAnsi="楷体" w:eastAsia="楷体" w:cs="楷体"/>
          <w:b/>
          <w:bCs/>
          <w:sz w:val="32"/>
          <w:szCs w:val="40"/>
        </w:rPr>
        <w:t>（一）投入</w:t>
      </w:r>
      <w:r>
        <w:rPr>
          <w:rFonts w:hint="eastAsia" w:ascii="仿宋" w:hAnsi="仿宋" w:eastAsia="仿宋" w:cs="仿宋"/>
          <w:sz w:val="32"/>
          <w:szCs w:val="4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val="en-US" w:eastAsia="zh-CN"/>
        </w:rPr>
      </w:pPr>
      <w:r>
        <w:rPr>
          <w:rFonts w:hint="eastAsia" w:ascii="仿宋" w:hAnsi="仿宋" w:cs="仿宋"/>
          <w:sz w:val="32"/>
          <w:szCs w:val="40"/>
          <w:lang w:val="en-US" w:eastAsia="zh-CN"/>
        </w:rPr>
        <w:t>1.在职人员控制率：本单位2021年度编制数为45名，实际在职人数为44人，控制率小于100%，根据评价标准该项得满分8分。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 w:hAnsi="仿宋" w:cs="仿宋"/>
          <w:sz w:val="32"/>
          <w:szCs w:val="40"/>
          <w:lang w:val="en-US" w:eastAsia="zh-CN"/>
        </w:rPr>
      </w:pPr>
      <w:r>
        <w:rPr>
          <w:rFonts w:hint="eastAsia" w:ascii="仿宋" w:hAnsi="仿宋" w:cs="仿宋"/>
          <w:sz w:val="32"/>
          <w:szCs w:val="40"/>
          <w:lang w:val="en-US" w:eastAsia="zh-CN"/>
        </w:rPr>
        <w:t>2.“三公经费”变动率情况：2021年度本单位预算安排“三公经费”总额为6.11万元，为公务接待费，实际公务接待支出6.06万元，三公经费变动率小于100%，根据评价标准该项得满分8分。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（二）过程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（1）预算执行情况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val="en-US" w:eastAsia="zh-CN"/>
        </w:rPr>
      </w:pPr>
      <w:r>
        <w:rPr>
          <w:rFonts w:hint="eastAsia" w:ascii="仿宋" w:hAnsi="仿宋" w:cs="仿宋"/>
          <w:sz w:val="32"/>
          <w:szCs w:val="40"/>
          <w:lang w:val="en-US" w:eastAsia="zh-CN"/>
        </w:rPr>
        <w:t>1.预算完成率：按照年初预算合理开展各项业务工作，预算完成率基本达到100%，本单位该项指标得分8分。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仿宋" w:hAnsi="仿宋" w:cs="仿宋"/>
          <w:sz w:val="32"/>
          <w:szCs w:val="40"/>
          <w:lang w:val="en-US" w:eastAsia="zh-CN"/>
        </w:rPr>
      </w:pPr>
      <w:r>
        <w:rPr>
          <w:rFonts w:hint="eastAsia" w:ascii="仿宋" w:hAnsi="仿宋" w:cs="仿宋"/>
          <w:sz w:val="32"/>
          <w:szCs w:val="40"/>
          <w:lang w:val="en-US" w:eastAsia="zh-CN"/>
        </w:rPr>
        <w:t>2.预算控制率：没有合理编制预算，实际支出超过年初预算，该项指标得2分。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（2）预算管理情况</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eastAsia" w:ascii="仿宋" w:hAnsi="仿宋" w:cs="仿宋"/>
          <w:sz w:val="32"/>
          <w:szCs w:val="40"/>
          <w:lang w:val="en-US" w:eastAsia="zh-CN"/>
        </w:rPr>
      </w:pPr>
      <w:r>
        <w:rPr>
          <w:rFonts w:hint="eastAsia" w:ascii="仿宋" w:hAnsi="仿宋" w:cs="仿宋"/>
          <w:sz w:val="32"/>
          <w:szCs w:val="40"/>
          <w:lang w:val="en-US" w:eastAsia="zh-CN"/>
        </w:rPr>
        <w:t>1.公用经费控制率：对公用经费严格按类别和额度使用，本单位该项指标得分8分。</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eastAsia" w:ascii="仿宋" w:hAnsi="仿宋" w:cs="仿宋"/>
          <w:sz w:val="32"/>
          <w:szCs w:val="40"/>
          <w:lang w:val="en-US" w:eastAsia="zh-CN"/>
        </w:rPr>
      </w:pPr>
      <w:r>
        <w:rPr>
          <w:rFonts w:hint="eastAsia" w:ascii="仿宋" w:hAnsi="仿宋" w:cs="仿宋"/>
          <w:sz w:val="32"/>
          <w:szCs w:val="40"/>
          <w:lang w:val="en-US" w:eastAsia="zh-CN"/>
        </w:rPr>
        <w:t>2.“三公经费”控制率：我乡公务接待支出严格按照规范开支，控制率在100%以下，根据评分标准，本单位该项指标得8分。</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eastAsia" w:ascii="仿宋" w:hAnsi="仿宋" w:cs="仿宋"/>
          <w:sz w:val="32"/>
          <w:szCs w:val="40"/>
          <w:lang w:val="en-US" w:eastAsia="zh-CN"/>
        </w:rPr>
      </w:pPr>
      <w:r>
        <w:rPr>
          <w:rFonts w:hint="eastAsia" w:ascii="仿宋" w:hAnsi="仿宋" w:cs="仿宋"/>
          <w:sz w:val="32"/>
          <w:szCs w:val="40"/>
          <w:lang w:val="en-US" w:eastAsia="zh-CN"/>
        </w:rPr>
        <w:t>3.政府采购执行率：由于对本单位年度内需采购物品的数额为8.85万元，实际采购没有达到预算数，该项得分4分。</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eastAsia" w:ascii="仿宋" w:hAnsi="仿宋" w:cs="仿宋"/>
          <w:sz w:val="32"/>
          <w:szCs w:val="40"/>
          <w:lang w:val="en-US" w:eastAsia="zh-CN"/>
        </w:rPr>
      </w:pPr>
      <w:r>
        <w:rPr>
          <w:rFonts w:hint="eastAsia" w:ascii="仿宋" w:hAnsi="仿宋" w:cs="仿宋"/>
          <w:sz w:val="32"/>
          <w:szCs w:val="40"/>
          <w:lang w:val="en-US" w:eastAsia="zh-CN"/>
        </w:rPr>
        <w:t>4.管理制度健全性：本单位建立了各项管理制度，有内部财务管理等制度，有本部门厉行节约制度，相关管理制度合法、合规、完整，相关管理制度得到有效执行，根据评分标准，本单位该项指标得满分8分。</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eastAsia" w:ascii="仿宋" w:hAnsi="仿宋" w:cs="仿宋"/>
          <w:sz w:val="32"/>
          <w:szCs w:val="40"/>
          <w:lang w:val="en-US" w:eastAsia="zh-CN"/>
        </w:rPr>
      </w:pPr>
      <w:r>
        <w:rPr>
          <w:rFonts w:hint="eastAsia" w:ascii="仿宋" w:hAnsi="仿宋" w:cs="仿宋"/>
          <w:sz w:val="32"/>
          <w:szCs w:val="40"/>
          <w:lang w:val="en-US" w:eastAsia="zh-CN"/>
        </w:rPr>
        <w:t>5.资金使用合规性：本单位支出符合国家财经法规和财务管理制度规定以及有关专项资金管理办法的规定，资金的拨付有完整的审批过程和手续，项目支出按规定支付，支出符合各项规定要求，资金使用无挪用等情况，根据评分标准，本单位该项指标得分5分。</w:t>
      </w:r>
    </w:p>
    <w:p>
      <w:pPr>
        <w:keepNext w:val="0"/>
        <w:keepLines w:val="0"/>
        <w:pageBreakBefore w:val="0"/>
        <w:widowControl w:val="0"/>
        <w:kinsoku/>
        <w:wordWrap/>
        <w:overflowPunct/>
        <w:topLinePunct w:val="0"/>
        <w:autoSpaceDE/>
        <w:autoSpaceDN/>
        <w:bidi w:val="0"/>
        <w:adjustRightInd/>
        <w:snapToGrid/>
        <w:spacing w:line="560" w:lineRule="exact"/>
        <w:ind w:firstLine="593"/>
        <w:textAlignment w:val="auto"/>
        <w:rPr>
          <w:rFonts w:hint="default" w:ascii="仿宋" w:hAnsi="仿宋" w:cs="仿宋"/>
          <w:sz w:val="32"/>
          <w:szCs w:val="40"/>
          <w:lang w:val="en-US" w:eastAsia="zh-CN"/>
        </w:rPr>
      </w:pPr>
      <w:r>
        <w:rPr>
          <w:rFonts w:hint="eastAsia" w:ascii="仿宋" w:hAnsi="仿宋" w:cs="仿宋"/>
          <w:sz w:val="32"/>
          <w:szCs w:val="40"/>
          <w:lang w:val="en-US" w:eastAsia="zh-CN"/>
        </w:rPr>
        <w:t>6.预决算信息公开性：本单位2021年度预算已按财政局要求进行公开，2021年决算还未批复，本单位基础数据信息和会计信息真实、完整，基础数据信息和汇集信息资料准确。根据评分标准，本单位该项得分为4分。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bCs/>
          <w:sz w:val="32"/>
          <w:szCs w:val="40"/>
        </w:rPr>
      </w:pPr>
      <w:r>
        <w:rPr>
          <w:rFonts w:hint="eastAsia" w:ascii="楷体" w:hAnsi="楷体" w:eastAsia="楷体" w:cs="楷体"/>
          <w:b/>
          <w:bCs/>
          <w:sz w:val="32"/>
          <w:szCs w:val="40"/>
        </w:rPr>
        <w:t>（三）产出及效果</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（1）职责履行</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sz w:val="32"/>
          <w:szCs w:val="24"/>
          <w:shd w:val="clear" w:color="auto" w:fill="FFFFFF"/>
          <w:lang w:val="en-US" w:eastAsia="zh-CN" w:bidi="ar-SA"/>
        </w:rPr>
      </w:pPr>
      <w:r>
        <w:rPr>
          <w:rFonts w:hint="eastAsia" w:ascii="仿宋" w:hAnsi="仿宋" w:eastAsia="仿宋" w:cs="仿宋"/>
          <w:sz w:val="32"/>
          <w:szCs w:val="24"/>
          <w:shd w:val="clear" w:color="auto" w:fill="FFFFFF"/>
          <w:lang w:val="en-US" w:eastAsia="zh-CN" w:bidi="ar-SA"/>
        </w:rPr>
        <w:t>1.突出抓疫情防控常态化推进。一是成立领导小组，压实责任，实行外来人员常态化排查，重点排查国内中、高风险地区和境外返乡、大数据推送人员，做到逐户逐人排查，不漏一人，全乡无疑似病例。二是全民接种构建新冠病毒全民免疫屏障。党政主要领导亲自调度，乡村两级干部广泛动员群众参与疫苗接种，实现“应接尽接”。截至目前林峰乡常住人口新冠疫苗：3—11周岁人群接种892人，12周岁以上第一针接种5784人，完成率123.12%，常住人口第一针接种率位居全县第一。</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sz w:val="32"/>
          <w:szCs w:val="24"/>
          <w:shd w:val="clear" w:color="auto" w:fill="FFFFFF"/>
          <w:lang w:val="en-US" w:eastAsia="zh-CN" w:bidi="ar-SA"/>
        </w:rPr>
      </w:pPr>
      <w:r>
        <w:rPr>
          <w:rFonts w:hint="eastAsia" w:ascii="仿宋" w:hAnsi="仿宋" w:cs="仿宋"/>
          <w:sz w:val="32"/>
          <w:szCs w:val="24"/>
          <w:shd w:val="clear" w:color="auto" w:fill="FFFFFF"/>
          <w:lang w:val="en-US" w:eastAsia="zh-CN" w:bidi="ar-SA"/>
        </w:rPr>
        <w:t>2.</w:t>
      </w:r>
      <w:r>
        <w:rPr>
          <w:rFonts w:hint="eastAsia" w:ascii="仿宋" w:hAnsi="仿宋" w:eastAsia="仿宋" w:cs="仿宋"/>
          <w:sz w:val="32"/>
          <w:szCs w:val="24"/>
          <w:shd w:val="clear" w:color="auto" w:fill="FFFFFF"/>
          <w:lang w:val="en-US" w:eastAsia="zh-CN" w:bidi="ar-SA"/>
        </w:rPr>
        <w:t>突出抓巩固脱贫成果与乡村振兴有效衔接。紧紧围绕“六大行动”目标，推动乡村振兴工作落地落实。一是发展产业促富民。今年以来大力发展黄金茶3000亩；油茶1500亩；柑橘1100亩；时令果蔬800亩；扫帚草400亩；雪茶510亩；优质稻1418亩；猕猴桃880亩。村集体经济不断发展壮大，毛都村集体经济突破10万元，其余各村集体经济均达到5万元以上。为全力推进乡村振兴奠定了经济基础。二是健全完善防止返贫致贫动态监测与帮扶。因户因人施策，建立健全防止返贫监测和帮扶机制。全乡纳入监测户27户62人（其中7户22人为突发严重困难户，18户38人均为脱贫不稳定户，2户2人为五保户），坚决守住防返贫工作底线。三是稳定就业保障民生。建立就业服务跟踪台账，脱贫人口就业总人数为1201人；农村公益性岗位119人。全乡五保户63人；低保205户478人；残疾人两项补贴277人次；临时救助129人次，发放救助金10.87万元。四是教育保障更加完善。强化做好学生教育资助工作，已完成春季雨露计划117人，发放补贴17.4万元；下半年秋季雨露计划预计资助121人，预计发放18.15万元；大学新生一次性资助共资助32人，发放补贴11.2万元。小学、初中阶段年辍学率均控制为零。五是美丽乡村不断提升。扎实开展三大工程，推进四大创建，2021年以来，全乡前后15次组织人力，集中力量重点清除集镇区及道路两边的废旧广告牌和“牛皮癣”453处；最美农家评选上报40户；卫生厕所改造240户，完成比例为103.9%。建立垃圾集中收集站，完善垃圾收集运输体系。六是乡风文明和谐运转。成功创建县级文明村5个创建率达62%。有序推动乡、村两级新时代文明实践所站建设，组织“学雷锋”志愿服务、文明实践、温暖帮扶、环境卫生保洁和留守儿童关爱行动。深入挖掘典型，评选“好婆婆好媳妇”16户。</w:t>
      </w:r>
      <w:r>
        <w:rPr>
          <w:rFonts w:hint="eastAsia" w:ascii="仿宋" w:hAnsi="仿宋" w:eastAsia="仿宋" w:cs="仿宋"/>
          <w:sz w:val="32"/>
          <w:szCs w:val="24"/>
          <w:shd w:val="clear" w:color="auto" w:fill="FFFFFF"/>
          <w:lang w:val="zh-CN" w:eastAsia="zh-CN" w:bidi="ar-SA"/>
        </w:rPr>
        <w:t>大力开展移风易俗</w:t>
      </w:r>
      <w:r>
        <w:rPr>
          <w:rFonts w:hint="eastAsia" w:ascii="仿宋" w:hAnsi="仿宋" w:eastAsia="仿宋" w:cs="仿宋"/>
          <w:sz w:val="32"/>
          <w:szCs w:val="24"/>
          <w:shd w:val="clear" w:color="auto" w:fill="FFFFFF"/>
          <w:lang w:val="en-US" w:eastAsia="zh-CN" w:bidi="ar-SA"/>
        </w:rPr>
        <w:t>宣传教育，各村通过“一约五会”、道德讲堂和综合文化服务中心等平台，多措并举开展戏曲进村寨等形式多样的活动，丰富群众的精神文化生活，积极引导辖区群众讲科学、讲文明、树新风。</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sz w:val="32"/>
          <w:szCs w:val="24"/>
          <w:shd w:val="clear" w:color="auto" w:fill="FFFFFF"/>
          <w:lang w:val="en-US" w:eastAsia="zh-CN" w:bidi="ar-SA"/>
        </w:rPr>
      </w:pPr>
      <w:r>
        <w:rPr>
          <w:rFonts w:hint="eastAsia" w:ascii="仿宋" w:hAnsi="仿宋" w:cs="仿宋"/>
          <w:sz w:val="32"/>
          <w:szCs w:val="24"/>
          <w:shd w:val="clear" w:color="auto" w:fill="FFFFFF"/>
          <w:lang w:val="en-US" w:eastAsia="zh-CN" w:bidi="ar-SA"/>
        </w:rPr>
        <w:t>3.</w:t>
      </w:r>
      <w:r>
        <w:rPr>
          <w:rFonts w:hint="eastAsia" w:ascii="仿宋" w:hAnsi="仿宋" w:eastAsia="仿宋" w:cs="仿宋"/>
          <w:sz w:val="32"/>
          <w:szCs w:val="24"/>
          <w:shd w:val="clear" w:color="auto" w:fill="FFFFFF"/>
          <w:lang w:val="zh-CN" w:eastAsia="zh-CN" w:bidi="ar-SA"/>
        </w:rPr>
        <w:t>突出抓安全生产保障群众生命财产安全。</w:t>
      </w:r>
      <w:r>
        <w:rPr>
          <w:rFonts w:hint="eastAsia" w:ascii="仿宋" w:hAnsi="仿宋" w:eastAsia="仿宋" w:cs="仿宋"/>
          <w:sz w:val="32"/>
          <w:szCs w:val="24"/>
          <w:shd w:val="clear" w:color="auto" w:fill="FFFFFF"/>
          <w:lang w:val="en-US" w:eastAsia="zh-CN" w:bidi="ar-SA"/>
        </w:rPr>
        <w:t>坚持“安全第一，预防为主、综合治理”的原则，强化安全生产基本能力建设，健全安全生产责任体系，今年以来开展安全生产宣传发放资料2000余份，制作标牌80幅，完善路牌、减速带25处，宣传板报10块；签订安全生产责任状11 份。建立车辆管理台账，与119名车主签订道路交通安全责任状，训诫和劝导证照不齐车辆及摩托97辆。学区宣讲安全知识8次；组织消防安全应急演练进企业。累计出动128人次上路开展道路交通安全检查36次，当场发现三无车辆、摩托26辆，下达整改通知26份。</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sz w:val="32"/>
          <w:szCs w:val="24"/>
          <w:shd w:val="clear" w:color="auto" w:fill="FFFFFF"/>
          <w:lang w:val="en-US" w:eastAsia="zh-CN" w:bidi="ar-SA"/>
        </w:rPr>
      </w:pPr>
      <w:r>
        <w:rPr>
          <w:rFonts w:hint="eastAsia" w:ascii="仿宋" w:hAnsi="仿宋" w:cs="仿宋"/>
          <w:sz w:val="32"/>
          <w:szCs w:val="24"/>
          <w:shd w:val="clear" w:color="auto" w:fill="FFFFFF"/>
          <w:lang w:val="en-US" w:eastAsia="zh-CN" w:bidi="ar-SA"/>
        </w:rPr>
        <w:t>4.</w:t>
      </w:r>
      <w:r>
        <w:rPr>
          <w:rFonts w:hint="eastAsia" w:ascii="仿宋" w:hAnsi="仿宋" w:eastAsia="仿宋" w:cs="仿宋"/>
          <w:sz w:val="32"/>
          <w:szCs w:val="24"/>
          <w:shd w:val="clear" w:color="auto" w:fill="FFFFFF"/>
          <w:lang w:val="en-US" w:eastAsia="zh-CN" w:bidi="ar-SA"/>
        </w:rPr>
        <w:t>突出平安创建深入开展。</w:t>
      </w:r>
      <w:r>
        <w:rPr>
          <w:rFonts w:hint="eastAsia" w:ascii="仿宋" w:hAnsi="仿宋" w:eastAsia="仿宋" w:cs="仿宋"/>
          <w:sz w:val="32"/>
          <w:szCs w:val="24"/>
          <w:shd w:val="clear" w:color="auto" w:fill="FFFFFF"/>
          <w:lang w:val="zh-CN" w:eastAsia="zh-CN" w:bidi="ar-SA"/>
        </w:rPr>
        <w:t>一是强力推进扫黑除恶专项行动。</w:t>
      </w:r>
      <w:r>
        <w:rPr>
          <w:rFonts w:hint="eastAsia" w:ascii="仿宋" w:hAnsi="仿宋" w:eastAsia="仿宋" w:cs="仿宋"/>
          <w:sz w:val="32"/>
          <w:szCs w:val="24"/>
          <w:shd w:val="clear" w:color="auto" w:fill="FFFFFF"/>
          <w:lang w:val="en-US" w:eastAsia="zh-CN" w:bidi="ar-SA"/>
        </w:rPr>
        <w:t>利用宣传标语、横幅、村喇叭、微信群等深入广泛宣传，张贴宣传画报12份，宣传标语26条，悬挂横幅8幅，发放扫黑除恶专项斗争宣传单3000份。二是</w:t>
      </w:r>
      <w:r>
        <w:rPr>
          <w:rFonts w:hint="eastAsia" w:ascii="仿宋" w:hAnsi="仿宋" w:eastAsia="仿宋" w:cs="仿宋"/>
          <w:sz w:val="32"/>
          <w:szCs w:val="24"/>
          <w:shd w:val="clear" w:color="auto" w:fill="FFFFFF"/>
          <w:lang w:val="zh-CN" w:eastAsia="zh-CN" w:bidi="ar-SA"/>
        </w:rPr>
        <w:t>深入开展反邪教工作。</w:t>
      </w:r>
      <w:r>
        <w:rPr>
          <w:rFonts w:hint="eastAsia" w:ascii="仿宋" w:hAnsi="仿宋" w:eastAsia="仿宋" w:cs="仿宋"/>
          <w:sz w:val="32"/>
          <w:szCs w:val="24"/>
          <w:shd w:val="clear" w:color="auto" w:fill="FFFFFF"/>
          <w:lang w:val="en-US" w:eastAsia="zh-CN" w:bidi="ar-SA"/>
        </w:rPr>
        <w:t>严密防范和打击各类邪教组织的违法犯罪活动。开展反邪教警示宣传日进村、进门面店铺、进户的宣传活动，发放宣传单1000余份。三是禁毒工作取得良好进展，通过宣传单、宣传册600余份，累计出动宣传车10余车次、工作人员30余人次。 社区戒毒（康复）人员有8人，社会面吸毒人员有24人，强制戒毒人员0人，共计32人，管控率达到百分之八十以上。四是雪亮乡村建设提质增效。完成安装监控摄像头262个，设立信息平台9个，为农村社会管理、环境治理监测、水污染防治、森林消防等应急管理指挥上提供更好的服务。五是</w:t>
      </w:r>
      <w:r>
        <w:rPr>
          <w:rFonts w:hint="eastAsia" w:ascii="仿宋" w:hAnsi="仿宋" w:eastAsia="仿宋" w:cs="仿宋"/>
          <w:sz w:val="32"/>
          <w:szCs w:val="24"/>
          <w:shd w:val="clear" w:color="auto" w:fill="FFFFFF"/>
          <w:lang w:val="zh-CN" w:eastAsia="zh-CN" w:bidi="ar-SA"/>
        </w:rPr>
        <w:t>切实抓好信访维稳工作。</w:t>
      </w:r>
      <w:r>
        <w:rPr>
          <w:rFonts w:hint="eastAsia" w:ascii="仿宋" w:hAnsi="仿宋" w:eastAsia="仿宋" w:cs="仿宋"/>
          <w:sz w:val="32"/>
          <w:szCs w:val="24"/>
          <w:shd w:val="clear" w:color="auto" w:fill="FFFFFF"/>
          <w:lang w:val="en-US" w:eastAsia="zh-CN" w:bidi="ar-SA"/>
        </w:rPr>
        <w:t>组织了专班化解积案多年的“9.5”交通事故信访案件的5名上访人员均以签订息访协议书。本年度尤其是建党百周年期间，林峰乡无一人赴省进北京造成非访。全乡网格服务平台共收集上报事件423起，办结423 起，办结率为 100%。</w:t>
      </w:r>
      <w:r>
        <w:rPr>
          <w:rFonts w:hint="eastAsia" w:ascii="仿宋" w:hAnsi="仿宋" w:eastAsia="仿宋" w:cs="仿宋"/>
          <w:sz w:val="32"/>
          <w:szCs w:val="24"/>
          <w:shd w:val="clear" w:color="auto" w:fill="FFFFFF"/>
          <w:lang w:val="zh-CN" w:eastAsia="zh-CN" w:bidi="ar-SA"/>
        </w:rPr>
        <w:t>加强流动人口和特殊人群服务管理。</w:t>
      </w:r>
      <w:r>
        <w:rPr>
          <w:rFonts w:hint="eastAsia" w:ascii="仿宋" w:hAnsi="仿宋" w:eastAsia="仿宋" w:cs="仿宋"/>
          <w:sz w:val="32"/>
          <w:szCs w:val="24"/>
          <w:shd w:val="clear" w:color="auto" w:fill="FFFFFF"/>
          <w:lang w:val="en-US" w:eastAsia="zh-CN" w:bidi="ar-SA"/>
        </w:rPr>
        <w:t>落实刑满释放6人、社区矫正5人、戒毒32人等人员帮教衔接机制，对肇事肇祸精神障碍患者逐步落实“5包1”监护全覆盖。推进重点领域专项整治，强化安全风险管控。加强食品药品安全监管，提高突发事件处理能力。</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sz w:val="32"/>
          <w:szCs w:val="24"/>
          <w:shd w:val="clear" w:color="auto" w:fill="FFFFFF"/>
          <w:lang w:val="en-US" w:eastAsia="zh-CN" w:bidi="ar-SA"/>
        </w:rPr>
      </w:pPr>
      <w:r>
        <w:rPr>
          <w:rFonts w:hint="eastAsia" w:ascii="仿宋" w:hAnsi="仿宋" w:cs="仿宋"/>
          <w:sz w:val="32"/>
          <w:szCs w:val="24"/>
          <w:shd w:val="clear" w:color="auto" w:fill="FFFFFF"/>
          <w:lang w:val="en-US" w:eastAsia="zh-CN" w:bidi="ar-SA"/>
        </w:rPr>
        <w:t>5.</w:t>
      </w:r>
      <w:r>
        <w:rPr>
          <w:rFonts w:hint="eastAsia" w:ascii="仿宋" w:hAnsi="仿宋" w:eastAsia="仿宋" w:cs="仿宋"/>
          <w:sz w:val="32"/>
          <w:szCs w:val="24"/>
          <w:shd w:val="clear" w:color="auto" w:fill="FFFFFF"/>
          <w:lang w:val="en-US" w:eastAsia="zh-CN" w:bidi="ar-SA"/>
        </w:rPr>
        <w:t>突出党建引领夯实基层队伍建设。一是强化农村基层党组织领导地位。选优配强乡领导班子，建好村级干部队伍，吸收8名预备党员，培养6名入党积极分子，确保党员队伍年轻化党组织更具战斗力。二是强化党建工作业务指导。每季度指导党支部规范开展“三会一课”、主题党日活动等党内组织生活，严格落实党员积分管理。三是突出政治培训建设。圆满完成了2021年“村两委”换届，以集中轮训、专题授课、网络学习等多种形式，开展新任“村两委”成员培训班、基层党组织书记党建业务培训班、入党积极分子和发展对象培训班等有针对性的教育培训。四是健全村务监督机制。完善村务监督委员会，加强乡村基层党组织监事，以加强村级党组织、致富带头人队伍和党员队伍建设为重点，扎实推进抓党建促乡村振兴的工作。</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sz w:val="32"/>
          <w:szCs w:val="24"/>
          <w:shd w:val="clear" w:color="auto" w:fill="FFFFFF"/>
          <w:lang w:val="en-US" w:eastAsia="zh-CN" w:bidi="ar-SA"/>
        </w:rPr>
      </w:pPr>
      <w:r>
        <w:rPr>
          <w:rFonts w:hint="eastAsia" w:ascii="仿宋" w:hAnsi="仿宋" w:cs="仿宋"/>
          <w:sz w:val="32"/>
          <w:szCs w:val="24"/>
          <w:shd w:val="clear" w:color="auto" w:fill="FFFFFF"/>
          <w:lang w:val="en-US" w:eastAsia="zh-CN" w:bidi="ar-SA"/>
        </w:rPr>
        <w:t>6.</w:t>
      </w:r>
      <w:r>
        <w:rPr>
          <w:rFonts w:hint="eastAsia" w:ascii="仿宋" w:hAnsi="仿宋" w:eastAsia="仿宋" w:cs="仿宋"/>
          <w:sz w:val="32"/>
          <w:szCs w:val="24"/>
          <w:shd w:val="clear" w:color="auto" w:fill="FFFFFF"/>
          <w:lang w:val="en-US" w:eastAsia="zh-CN" w:bidi="ar-SA"/>
        </w:rPr>
        <w:t>突出干部队伍思想政治建设。深入学习贯彻习近平新时代中国特色社会主义思想和党的十九届四中、五中全会精神，以及习近平总书记关于党史学习教育精神，党委理论学习中心组围绕“学史明理”“学史增信”“学史崇德”“学史力行”专题和习近平总书记关于庆祝中国共产党成立100周年系列讲话精神等进行深入讨论交流发言46人次。征订党史学习教育丛书304本；组织乡村两级干部到菖蒲塘村开展现场教育；放映党史教育电影，开展“一起赶场学习党史”和“我为群众办实事”实践活动，不断扎实推进党史学习教育深入开展。</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sz w:val="32"/>
          <w:szCs w:val="24"/>
          <w:shd w:val="clear" w:color="auto" w:fill="FFFFFF"/>
          <w:lang w:val="en-US" w:eastAsia="zh-CN" w:bidi="ar-SA"/>
        </w:rPr>
      </w:pPr>
      <w:r>
        <w:rPr>
          <w:rFonts w:hint="eastAsia" w:ascii="仿宋" w:hAnsi="仿宋" w:cs="仿宋"/>
          <w:sz w:val="32"/>
          <w:szCs w:val="24"/>
          <w:shd w:val="clear" w:color="auto" w:fill="FFFFFF"/>
          <w:lang w:val="en-US" w:eastAsia="zh-CN" w:bidi="ar-SA"/>
        </w:rPr>
        <w:t>7.</w:t>
      </w:r>
      <w:r>
        <w:rPr>
          <w:rFonts w:hint="eastAsia" w:ascii="仿宋" w:hAnsi="仿宋" w:eastAsia="仿宋" w:cs="仿宋"/>
          <w:sz w:val="32"/>
          <w:szCs w:val="24"/>
          <w:shd w:val="clear" w:color="auto" w:fill="FFFFFF"/>
          <w:lang w:val="en-US" w:eastAsia="zh-CN" w:bidi="ar-SA"/>
        </w:rPr>
        <w:t>全面加强党风廉政建设。切实履行党风廉政建设的“两个主体责任”，实施领导干部重大事项报告制度、政府采购、公务用车管理制度等，从源头上堵住了腐败现象的滋生。认真履行中央“八项规定”和整治“四风”问题，模范执行公务接待“八不准”。不定期督查乡村干部值班坐班6轮次，对涉农扶贫资金、疑似公职人员领取“一卡通”、项目建设、低保等民生工作进行专项督查5次，对乡村干部进行廉政谈话8人（次）。完成3起问题线索的执纪审查工作，其中自收2件，上级纪委交办1件。开除党籍1人，提醒谈话1人，诫勉谈话4人，已查实违法犯罪，已送公安机关1人，追缴违纪资金12万余元。集中学习4次，观看廉政教育影片2部，讲廉政党课2次。乡党委换届期间对100名党代表进行了廉洁审查。全乡党务公开48次，村务公开16次，财务收支公开常态化，临时性、阶段性的重大事项公开20余条。</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（2）履职效益</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val="en-US" w:eastAsia="zh-CN"/>
        </w:rPr>
      </w:pPr>
      <w:r>
        <w:rPr>
          <w:rFonts w:hint="eastAsia" w:ascii="仿宋" w:hAnsi="仿宋" w:eastAsia="仿宋" w:cs="仿宋"/>
          <w:sz w:val="32"/>
          <w:szCs w:val="40"/>
          <w:lang w:val="en-US" w:eastAsia="zh-CN"/>
        </w:rPr>
        <w:t>1.经济效益和社会效益：</w:t>
      </w:r>
      <w:r>
        <w:rPr>
          <w:rFonts w:hint="eastAsia" w:ascii="仿宋" w:hAnsi="仿宋" w:cs="仿宋"/>
          <w:sz w:val="32"/>
          <w:szCs w:val="40"/>
          <w:lang w:val="en-US" w:eastAsia="zh-CN"/>
        </w:rPr>
        <w:t>合理配置资源，加强各项工作后续监督促进经济发展。</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cs="仿宋"/>
          <w:sz w:val="32"/>
          <w:szCs w:val="40"/>
          <w:lang w:val="en-US" w:eastAsia="zh-CN"/>
        </w:rPr>
      </w:pPr>
      <w:r>
        <w:rPr>
          <w:rFonts w:hint="eastAsia" w:ascii="仿宋" w:hAnsi="仿宋" w:cs="仿宋"/>
          <w:sz w:val="32"/>
          <w:szCs w:val="40"/>
          <w:lang w:val="en-US" w:eastAsia="zh-CN"/>
        </w:rPr>
        <w:t>2.行政效能：一件事一次办，提高办事效率，方便群众办事，促进部门改进文风会风，加强经费及资产管理，推动网上办事，提高行政效率，降低行政成本效果较好。</w:t>
      </w:r>
    </w:p>
    <w:p>
      <w:pPr>
        <w:pStyle w:val="2"/>
        <w:rPr>
          <w:rFonts w:hint="eastAsia" w:ascii="仿宋" w:hAnsi="仿宋" w:eastAsia="仿宋" w:cs="仿宋"/>
          <w:sz w:val="32"/>
          <w:szCs w:val="40"/>
        </w:rPr>
      </w:pPr>
      <w:r>
        <w:rPr>
          <w:rFonts w:hint="eastAsia" w:ascii="仿宋" w:hAnsi="仿宋" w:cs="仿宋"/>
          <w:sz w:val="32"/>
          <w:szCs w:val="40"/>
          <w:lang w:val="en-US" w:eastAsia="zh-CN"/>
        </w:rPr>
        <w:t xml:space="preserve">    3.</w:t>
      </w:r>
      <w:r>
        <w:rPr>
          <w:rFonts w:hint="eastAsia" w:ascii="仿宋" w:hAnsi="仿宋" w:eastAsia="仿宋" w:cs="仿宋"/>
          <w:kern w:val="2"/>
          <w:sz w:val="32"/>
          <w:szCs w:val="40"/>
          <w:lang w:val="en-US" w:eastAsia="zh-CN" w:bidi="ar-SA"/>
        </w:rPr>
        <w:t>社会公众或服务对象满意度</w:t>
      </w:r>
      <w:r>
        <w:rPr>
          <w:rFonts w:hint="eastAsia" w:ascii="仿宋" w:hAnsi="仿宋" w:cs="仿宋"/>
          <w:kern w:val="2"/>
          <w:sz w:val="32"/>
          <w:szCs w:val="40"/>
          <w:lang w:val="en-US" w:eastAsia="zh-CN" w:bidi="ar-SA"/>
        </w:rPr>
        <w:t>：通过走访等相关社会形式进行调查，群众满意度为90%。</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七、存在的问题及原因分析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1</w:t>
      </w:r>
      <w:r>
        <w:rPr>
          <w:rFonts w:hint="eastAsia" w:ascii="仿宋" w:hAnsi="仿宋" w:cs="仿宋"/>
          <w:sz w:val="32"/>
          <w:szCs w:val="40"/>
          <w:lang w:val="en-US" w:eastAsia="zh-CN"/>
        </w:rPr>
        <w:t>.</w:t>
      </w:r>
      <w:r>
        <w:rPr>
          <w:rFonts w:hint="eastAsia" w:ascii="仿宋" w:hAnsi="仿宋" w:eastAsia="仿宋" w:cs="仿宋"/>
          <w:sz w:val="32"/>
          <w:szCs w:val="40"/>
        </w:rPr>
        <w:t>预算编制不够明确和细化，部分科目年初预算与年底决算相差较大。</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w:t>
      </w:r>
      <w:r>
        <w:rPr>
          <w:rFonts w:hint="eastAsia" w:ascii="仿宋" w:hAnsi="仿宋" w:cs="仿宋"/>
          <w:sz w:val="32"/>
          <w:szCs w:val="40"/>
          <w:lang w:val="en-US" w:eastAsia="zh-CN"/>
        </w:rPr>
        <w:t>.</w:t>
      </w:r>
      <w:r>
        <w:rPr>
          <w:rFonts w:hint="eastAsia" w:ascii="仿宋" w:hAnsi="仿宋" w:eastAsia="仿宋" w:cs="仿宋"/>
          <w:sz w:val="32"/>
          <w:szCs w:val="40"/>
        </w:rPr>
        <w:t>基层财政干部队伍素质有待提高。</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3</w:t>
      </w:r>
      <w:r>
        <w:rPr>
          <w:rFonts w:hint="eastAsia" w:ascii="仿宋" w:hAnsi="仿宋" w:cs="仿宋"/>
          <w:sz w:val="32"/>
          <w:szCs w:val="40"/>
          <w:lang w:val="en-US" w:eastAsia="zh-CN"/>
        </w:rPr>
        <w:t>.</w:t>
      </w:r>
      <w:r>
        <w:rPr>
          <w:rFonts w:hint="eastAsia" w:ascii="仿宋" w:hAnsi="仿宋" w:eastAsia="仿宋" w:cs="仿宋"/>
          <w:sz w:val="32"/>
          <w:szCs w:val="40"/>
        </w:rPr>
        <w:t>内部管路制度有待完善。</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八、下一步改进措施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针对上述存在问题及我乡整体支出管理工作的需要，拟实施的改进措施如下：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1</w:t>
      </w:r>
      <w:r>
        <w:rPr>
          <w:rFonts w:hint="eastAsia" w:ascii="仿宋" w:hAnsi="仿宋" w:cs="仿宋"/>
          <w:sz w:val="32"/>
          <w:szCs w:val="40"/>
          <w:lang w:val="en-US" w:eastAsia="zh-CN"/>
        </w:rPr>
        <w:t>.</w:t>
      </w:r>
      <w:r>
        <w:rPr>
          <w:rFonts w:hint="eastAsia" w:ascii="仿宋" w:hAnsi="仿宋" w:eastAsia="仿宋" w:cs="仿宋"/>
          <w:sz w:val="32"/>
          <w:szCs w:val="40"/>
        </w:rPr>
        <w:t>细化预算编制工作，认真做好预算的编制。进一步加强内部的预算管理意识，严格按照预算编制的相关制度和要求进行预算编制；进一步提高预算编制的科学性、严谨性和可控性。加强内部预算编制的审核和预算控制指标的下达。</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2</w:t>
      </w:r>
      <w:r>
        <w:rPr>
          <w:rFonts w:hint="eastAsia" w:ascii="仿宋" w:hAnsi="仿宋" w:cs="仿宋"/>
          <w:sz w:val="32"/>
          <w:szCs w:val="40"/>
          <w:lang w:val="en-US" w:eastAsia="zh-CN"/>
        </w:rPr>
        <w:t>.</w:t>
      </w:r>
      <w:r>
        <w:rPr>
          <w:rFonts w:hint="eastAsia" w:ascii="仿宋" w:hAnsi="仿宋" w:eastAsia="仿宋" w:cs="仿宋"/>
          <w:sz w:val="32"/>
          <w:szCs w:val="40"/>
        </w:rPr>
        <w:t>加强财务管理，严格财务审核。在费用报账支付时，按照预算规定的费用项目和用途进行资金使用审核、列报支付、财务核算，杜绝超支现象的发生。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3</w:t>
      </w:r>
      <w:r>
        <w:rPr>
          <w:rFonts w:hint="eastAsia" w:ascii="仿宋" w:hAnsi="仿宋" w:cs="仿宋"/>
          <w:sz w:val="32"/>
          <w:szCs w:val="40"/>
          <w:lang w:val="en-US" w:eastAsia="zh-CN"/>
        </w:rPr>
        <w:t>.</w:t>
      </w:r>
      <w:r>
        <w:rPr>
          <w:rFonts w:hint="eastAsia" w:ascii="仿宋" w:hAnsi="仿宋" w:eastAsia="仿宋" w:cs="仿宋"/>
          <w:sz w:val="32"/>
          <w:szCs w:val="40"/>
        </w:rPr>
        <w:t>持续抓好“三公”经费控制管理。严格把关“三公”经费支出的审核、审批，进一步细化“三公”经费的管理，合理压缩“三公”经费支出。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4</w:t>
      </w:r>
      <w:r>
        <w:rPr>
          <w:rFonts w:hint="eastAsia" w:ascii="仿宋" w:hAnsi="仿宋" w:cs="仿宋"/>
          <w:sz w:val="32"/>
          <w:szCs w:val="40"/>
          <w:lang w:val="en-US" w:eastAsia="zh-CN"/>
        </w:rPr>
        <w:t>.</w:t>
      </w:r>
      <w:r>
        <w:rPr>
          <w:rFonts w:hint="eastAsia" w:ascii="仿宋" w:hAnsi="仿宋" w:eastAsia="仿宋" w:cs="仿宋"/>
          <w:sz w:val="32"/>
          <w:szCs w:val="40"/>
        </w:rPr>
        <w:t>加强财政所人员业务知识和能力，全面提升基层财政队伍的业务素质和工作能力。</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rPr>
      </w:pPr>
      <w:r>
        <w:rPr>
          <w:rFonts w:hint="eastAsia" w:ascii="仿宋" w:hAnsi="仿宋" w:eastAsia="仿宋" w:cs="仿宋"/>
          <w:sz w:val="32"/>
          <w:szCs w:val="40"/>
        </w:rPr>
        <w:t>5</w:t>
      </w:r>
      <w:r>
        <w:rPr>
          <w:rFonts w:hint="eastAsia" w:ascii="仿宋" w:hAnsi="仿宋" w:cs="仿宋"/>
          <w:sz w:val="32"/>
          <w:szCs w:val="40"/>
          <w:lang w:val="en-US" w:eastAsia="zh-CN"/>
        </w:rPr>
        <w:t>.</w:t>
      </w:r>
      <w:r>
        <w:rPr>
          <w:rFonts w:hint="eastAsia" w:ascii="仿宋" w:hAnsi="仿宋" w:eastAsia="仿宋" w:cs="仿宋"/>
          <w:sz w:val="32"/>
          <w:szCs w:val="40"/>
        </w:rPr>
        <w:t>加强项目开展进度的跟踪，开展项目绩效评价，确保项目绩效目标的完成。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sz w:val="32"/>
          <w:szCs w:val="40"/>
        </w:rPr>
      </w:pPr>
      <w:r>
        <w:rPr>
          <w:rFonts w:hint="eastAsia" w:ascii="黑体" w:hAnsi="黑体" w:eastAsia="黑体" w:cs="黑体"/>
          <w:sz w:val="32"/>
          <w:szCs w:val="40"/>
        </w:rPr>
        <w:t>九、其他需要说明的情况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40"/>
          <w:lang w:eastAsia="zh-CN"/>
        </w:rPr>
      </w:pPr>
      <w:r>
        <w:rPr>
          <w:rFonts w:hint="eastAsia" w:ascii="仿宋" w:hAnsi="仿宋" w:cs="仿宋"/>
          <w:sz w:val="32"/>
          <w:szCs w:val="40"/>
          <w:lang w:eastAsia="zh-CN"/>
        </w:rPr>
        <w:t>无</w:t>
      </w:r>
    </w:p>
    <w:sectPr>
      <w:pgSz w:w="11906" w:h="16838"/>
      <w:pgMar w:top="1701" w:right="1800" w:bottom="1440" w:left="1800" w:header="851" w:footer="992" w:gutter="0"/>
      <w:cols w:space="0" w:num="1"/>
      <w:rtlGutter w:val="0"/>
      <w:docGrid w:type="linesAndChars" w:linePitch="634"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A786D"/>
    <w:multiLevelType w:val="singleLevel"/>
    <w:tmpl w:val="C5EA786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48"/>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Y2VhOGNiNmZiYjcwOWNiZDc3YzI5OWJjMzFlYzAifQ=="/>
  </w:docVars>
  <w:rsids>
    <w:rsidRoot w:val="00000000"/>
    <w:rsid w:val="01653250"/>
    <w:rsid w:val="057934B0"/>
    <w:rsid w:val="06BC497A"/>
    <w:rsid w:val="0B2D1783"/>
    <w:rsid w:val="0C55086F"/>
    <w:rsid w:val="0D467201"/>
    <w:rsid w:val="0E471B9F"/>
    <w:rsid w:val="0F264769"/>
    <w:rsid w:val="118A4AB4"/>
    <w:rsid w:val="14C72336"/>
    <w:rsid w:val="16496150"/>
    <w:rsid w:val="18F76386"/>
    <w:rsid w:val="192035AF"/>
    <w:rsid w:val="199C19C2"/>
    <w:rsid w:val="1B1D3A81"/>
    <w:rsid w:val="1B581EDB"/>
    <w:rsid w:val="1BC71AAF"/>
    <w:rsid w:val="1BFC748C"/>
    <w:rsid w:val="1E4F2719"/>
    <w:rsid w:val="1EDA6402"/>
    <w:rsid w:val="1F28717E"/>
    <w:rsid w:val="1F962933"/>
    <w:rsid w:val="1FD75650"/>
    <w:rsid w:val="1FF37F7C"/>
    <w:rsid w:val="20196191"/>
    <w:rsid w:val="215F26C4"/>
    <w:rsid w:val="233E760B"/>
    <w:rsid w:val="24667B63"/>
    <w:rsid w:val="267B073B"/>
    <w:rsid w:val="28F41AD6"/>
    <w:rsid w:val="29442D97"/>
    <w:rsid w:val="29F46220"/>
    <w:rsid w:val="2A73706E"/>
    <w:rsid w:val="2B8C3DBD"/>
    <w:rsid w:val="2DFD7FDD"/>
    <w:rsid w:val="2E3E6DB7"/>
    <w:rsid w:val="2F8E61DB"/>
    <w:rsid w:val="2FB40958"/>
    <w:rsid w:val="30323EDD"/>
    <w:rsid w:val="31510410"/>
    <w:rsid w:val="32D467AC"/>
    <w:rsid w:val="3352084C"/>
    <w:rsid w:val="34F97DC0"/>
    <w:rsid w:val="37BC738F"/>
    <w:rsid w:val="387A3DBE"/>
    <w:rsid w:val="3BCE37B9"/>
    <w:rsid w:val="3C927794"/>
    <w:rsid w:val="3CFC7717"/>
    <w:rsid w:val="3E120B53"/>
    <w:rsid w:val="3F4F4EA9"/>
    <w:rsid w:val="405D061F"/>
    <w:rsid w:val="421A77E0"/>
    <w:rsid w:val="438A06C0"/>
    <w:rsid w:val="491F77A8"/>
    <w:rsid w:val="4B102D4B"/>
    <w:rsid w:val="4B3E5281"/>
    <w:rsid w:val="4E925B72"/>
    <w:rsid w:val="4F657099"/>
    <w:rsid w:val="50F634A8"/>
    <w:rsid w:val="5170458F"/>
    <w:rsid w:val="54F96087"/>
    <w:rsid w:val="552A4180"/>
    <w:rsid w:val="58117172"/>
    <w:rsid w:val="5B54717C"/>
    <w:rsid w:val="5BAD71BB"/>
    <w:rsid w:val="5BB95931"/>
    <w:rsid w:val="5C7D44BF"/>
    <w:rsid w:val="5CAB68D3"/>
    <w:rsid w:val="5D1C1801"/>
    <w:rsid w:val="5E2C3F67"/>
    <w:rsid w:val="5E386D44"/>
    <w:rsid w:val="622D0C5F"/>
    <w:rsid w:val="63905A6B"/>
    <w:rsid w:val="65400A53"/>
    <w:rsid w:val="673C1E47"/>
    <w:rsid w:val="673F5716"/>
    <w:rsid w:val="677637F3"/>
    <w:rsid w:val="67C133E6"/>
    <w:rsid w:val="67EC7462"/>
    <w:rsid w:val="6E0B7FE7"/>
    <w:rsid w:val="6E270A2B"/>
    <w:rsid w:val="6E3E6A55"/>
    <w:rsid w:val="70CD3611"/>
    <w:rsid w:val="729D3CC8"/>
    <w:rsid w:val="74185B89"/>
    <w:rsid w:val="74E32849"/>
    <w:rsid w:val="75DF0AAD"/>
    <w:rsid w:val="75F65957"/>
    <w:rsid w:val="75FB2FD1"/>
    <w:rsid w:val="762F175D"/>
    <w:rsid w:val="78174D70"/>
    <w:rsid w:val="790474DF"/>
    <w:rsid w:val="792561F6"/>
    <w:rsid w:val="79752281"/>
    <w:rsid w:val="7A0378F7"/>
    <w:rsid w:val="7B0E0DE3"/>
    <w:rsid w:val="7CA0437E"/>
    <w:rsid w:val="7D5B5471"/>
    <w:rsid w:val="7E8C0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5803</Words>
  <Characters>6405</Characters>
  <Lines>0</Lines>
  <Paragraphs>0</Paragraphs>
  <TotalTime>6</TotalTime>
  <ScaleCrop>false</ScaleCrop>
  <LinksUpToDate>false</LinksUpToDate>
  <CharactersWithSpaces>6449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霍元文章</cp:lastModifiedBy>
  <dcterms:modified xsi:type="dcterms:W3CDTF">2022-09-21T09:43:22Z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CE04AFDA31754E84BDB2A50D25D763AD</vt:lpwstr>
  </property>
</Properties>
</file>