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沱江镇人民政府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部门整体支出绩效评价报告</w:t>
      </w:r>
    </w:p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64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一、部门、单位基本情况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640" w:right="0" w:firstLine="0" w:firstLineChars="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(一)部门（单位）基本情况，部门职责概述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、内设机构设置。根据编委核定，沱江镇人民政府全额拨款行政单位，核定编制180人，其中全额编180人，差额编0人，自筹编0人。年末实有167人。提前离岗人员1人。离休人员1人，退休人员65人。内设工作职能划分，分别是农业农村组、综合执法组、综合维稳组、城市工作组、党政综合组、财政所、征地拆迁组。内设机构包括：机关综合、财政所、司法所、便民服务中心、农业综合服务中心、社会事务综合服务中心、退役军人服务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2、决算单位构成。沱江镇人民政府只有本级，没有其他二级预算单位，因此，纳入2022年部门预算编制范围的只有沱江镇人民政府本级。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3、部门职责。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（1）促进经济发展。制定实施本镇经济发展规划，发展壮大农村集体经济，大力发展农村个体私营等非公有制经济，推进农村市场经济体系的建设，促进农民增收。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）加强社会管理。制定实施本乡社会发展规划，负责管理教育、科技、文化、卫生、体育等社会事业和计划生育、民政、城镇管理、村镇建设、道路建设、交通秩序等管理工作，依法指导和帮助社会民间组织健康发展，配合上级有关部门做好安全生产、国土资源管理、环境保护和市场监管等工作，加强对上级部门派驻机构的协调和监督，强化乡镇财政、村级财务和集体资产的监督管理，建立健全减轻农民负担的监督管理机制，完善农村社会救助和保障体系，建立防灾减灾等区域性、突发性事件的处置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3）搞好公共服务。加强基础设施建设、农田水利建设和生态环境建设，发展农村社会公共事业和集体公益事业，组织引导农村劳动力转移和就业，加强农村社会化服务体系建设，鼓励和扶持社会力量举办为“三农”服务的公益性机构和经济实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4）维护社会稳定。加强社会治安综合治理，综合协调平安建设工作，强化信访、调解工作，化解农村社会矛盾，维护社会秩序；抓好法制宣传和普法教育，增强干部群众的法制意识，保护各种经济组织的合法权益和公民的合法财产，保障公民人身权利、民主权利和其他权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5）巩固基层政权。加强党的思想建设、组织建设、作风建设和制度建设，强化乡人大对乡政府的监督，切实加强和改进对村级党组织的领导和对村民委员会的指导，扩大和健全农村基层民主，充分发挥工会、共青团、妇联等群众团体的桥梁纽带作用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（二）部门（单位）部门支出规模、使用方向和主要内容、涉及范围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1、年度资金收支决算情况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（1）单位本年度实际收到的一般公共预算财政拨款收入4434.20万元，财政部门拨款对账单 4434.20万元，差额 0万元。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（2）单位本年度政府性基金预算财政拨款收入 340.48万元，财政部门拨款对账单 340.48 万元，差额 0万元。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（3）单位本年度国有资本经营预算财政拨款收入 10.17 万元，财政部门拨款对账单 10.17 万元，差额 0 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“三公经费”支出使用和管理情况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“三公”经费财政拨款支出预算为6万元，支出决算为1.30万元，完成预算的21.67%，决算书小于预算数的原因是：1、厉行节约，反对奢侈浪费，压缩三公经费开支；2、受疫情防控影响，减少人口流动，减少公务接待。其中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因公出国（境）费支出预算为0万元，支出决算为0万元，完成预算的0%，与上年相比增加0万元，增长0%。上年度支出为0，无增减变化。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公务接待费支出预算为6万元，支出决算为1.30万元，完成预算的21.67%，与上年相比减少21.66万元，减少94.34%，减少的主要原因是：1、厉行节约，反对奢侈浪费，压缩三公经费开支；2、受疫情防控影响，减少人口流动，减少公务接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 w:firstLine="600" w:firstLineChars="200"/>
        <w:textAlignment w:val="center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公务用车购置费及运行维护费支出预算为0万元，支出决算为0万元，完成预算的0%，与上年相比增加0万元，增长0%。上年度支出为0，无增减变化。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部门资产配置情况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截至202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年12月31日，本单位共有车辆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辆，其中，主要领导干部用车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辆，机要通信用车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辆、应急保障用车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辆、执法执勤用车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辆、特种专业技术用车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辆、其他用车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辆，其他用车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无</w:t>
      </w:r>
      <w:r>
        <w:rPr>
          <w:rFonts w:hint="eastAsia" w:ascii="宋体" w:hAnsi="宋体" w:eastAsia="宋体" w:cs="宋体"/>
          <w:sz w:val="30"/>
          <w:szCs w:val="30"/>
        </w:rPr>
        <w:t>；单位价值50万元以上通用设备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台（套）；单位价值100万元以上专用设备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台（套）。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部门政府采购情况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firstLine="480"/>
        <w:jc w:val="both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政府采购支出329.66万元，包括采购类型为办公设备购置1.17万元，日常政府采购、宣传广告打印开支等328.49万元，采购规模均为临时需求采购。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公用经费执行情况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2022年度我镇公用经费执行数为459万元，其中办公费开支238万元，主要用于购买办公用品及日常开支；电费3万元，水费15万元；差旅费50万元，主要用于信访维稳办事差旅开支；会议费4万元，主要用于会议开支；公务接待费1万元，主要用于公务接待开支；工会经费7万元，主要用于工会慰问干部开支；福利费15万元，主要用于发放工会福利；其他交通费54万元，主要用于干部公车补贴；其他商品和服务支出72万元，主要用于政府日常工作开支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绩效目标申报情况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本部门整体支出和项目支出实行绩效目标管理，纳入2022年部门整体支出绩效目标的金额为3922.25万元，其中，一般公共预算3574.05万元，政府性基金拨款340.48万元，其他资金7.72万元。预算绩效管理配合财政各部门建立并完善国库单一账户体系；监督单位预算指标与用款计</w:t>
      </w:r>
      <w:r>
        <w:rPr>
          <w:rFonts w:hint="eastAsia" w:ascii="宋体" w:hAnsi="宋体" w:eastAsia="宋体" w:cs="宋体"/>
          <w:sz w:val="30"/>
          <w:szCs w:val="30"/>
        </w:rPr>
        <w:t>划的执行；监控财政资金的支付过程；承担财政资金的审核、支付工作，提供预算执行信息；负责财政支付系统内部的监督检查及各重点工程财务核算工作。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每月跟踪指标变化及执行情况，政府项目资金按时按规执行到位。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每年编制部门</w:t>
      </w:r>
      <w:r>
        <w:rPr>
          <w:rFonts w:hint="eastAsia" w:ascii="宋体" w:hAnsi="宋体" w:eastAsia="宋体" w:cs="宋体"/>
          <w:sz w:val="30"/>
          <w:szCs w:val="30"/>
        </w:rPr>
        <w:t>整体支出绩效评价报告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且编入部门决算公开报告第五部分一并公开。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二、一般公共预算支出情况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（一）基本支出情况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</w:rPr>
        <w:t>年度财政拨款基本支出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4061</w:t>
      </w:r>
      <w:r>
        <w:rPr>
          <w:rFonts w:hint="eastAsia" w:ascii="宋体" w:hAnsi="宋体" w:eastAsia="宋体" w:cs="宋体"/>
          <w:sz w:val="30"/>
          <w:szCs w:val="30"/>
        </w:rPr>
        <w:t>万元，其中：人员经费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3601</w:t>
      </w:r>
      <w:r>
        <w:rPr>
          <w:rFonts w:hint="eastAsia" w:ascii="宋体" w:hAnsi="宋体" w:eastAsia="宋体" w:cs="宋体"/>
          <w:sz w:val="30"/>
          <w:szCs w:val="30"/>
        </w:rPr>
        <w:t>万元，占基本支出的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88.67</w:t>
      </w:r>
      <w:r>
        <w:rPr>
          <w:rFonts w:hint="eastAsia" w:ascii="宋体" w:hAnsi="宋体" w:eastAsia="宋体" w:cs="宋体"/>
          <w:sz w:val="30"/>
          <w:szCs w:val="30"/>
        </w:rPr>
        <w:t>%,公用经费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460</w:t>
      </w:r>
      <w:r>
        <w:rPr>
          <w:rFonts w:hint="eastAsia" w:ascii="宋体" w:hAnsi="宋体" w:eastAsia="宋体" w:cs="宋体"/>
          <w:sz w:val="30"/>
          <w:szCs w:val="30"/>
        </w:rPr>
        <w:t>万元，占基本支出的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11.33</w:t>
      </w:r>
      <w:r>
        <w:rPr>
          <w:rFonts w:hint="eastAsia" w:ascii="宋体" w:hAnsi="宋体" w:eastAsia="宋体" w:cs="宋体"/>
          <w:sz w:val="30"/>
          <w:szCs w:val="30"/>
        </w:rPr>
        <w:t>%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（二）项目支出情况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1、年度专项资金收支情况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（1）2021年全州财政支农政策培训经费1.2万元，本年度支出1.2万元，无结余。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铅锌矿职工分流到沱江古镇社区人员经费补录3.04万元，本年度支出3.04万元，无结余。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（3）铅锌矿人员工资与绩效83.80万元，本年度支出69.81万元，结余13.99万元。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（4）沱江镇2021年文化事业发展专项沱江镇长坪村杨五云家庭1万元，本年度支出1万元，无结余。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（5）沱江镇十里牌村公共服务平台建设资金20万元，本年度支出20万元，无结余。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（6）沱江镇乡村振兴驻村工作经费72万元年终结转34.44万元，本年度支出34.32万元，结余0.12万元。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（7）沱江镇征地工作奖励经费50万元，本年度支出50万元，无结余。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（8）沱江镇财政所2021年度乡镇财政管理经费2万元：本年度支出2万元，无结余。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（9）沱江镇红旗大道拆迁安置区技术工程、凤仙境房屋拆除及风木公路项目款50万元，本年度支出50万元，无结余。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（10）沱江镇禁毒工作经费年终结转0.33万元，本年度支出0.33万元，无结余。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（11）村级服务群众专项经费29万元，本年度支出29万元，结余29万元。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（12）沱江镇堤溪路临时建筑自拆补助30.48万元，本年度支出30.48万元，无结余。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（13）沱江镇十里牌道路恢复工程即长湾场地平整项目款40万元，本年度支出0万元，结余40万元。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（14）沱江镇城乡建设用地增减挂钩（2018年第四期）项目资金年终结转3.41万元，本年度支出3.41万元，无结余。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（15）2022年沱江镇国有企业退休人员社会化管理补助资金10.16万元，本年度支出10.16万元，无结余。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（16）沱江镇落实城区违法违章临时性建筑物拆除经费60万元，本年度支出60万元，无结余。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（17）社会惠民资金48万元，本年度支出48万元，结余48万元。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（18）村主职干部养老保险年终结转0.4万元，本年度支出0.4万元，结余0.4万元。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（19）2022年春节走访维稳古城涉旅商铺、一线环卫工人经费50万元，本年度支出0万元，结余50万元。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（20）追加2022年春节走访慰问古城涉旅商铺、一线环卫工人经费20万元，本年度支出20万元，无结余。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（21）公益性岗位工资12.20万元，本年度支出0，结余12.20万元。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（22）沱江镇杜田安置区土石方、场地平整河流改造及道路工程60万元，本年度支出60万元，无结余。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（23）沱江镇2021年均衡性转移支付龙潭村村级文化广场修缮10万元，本年度支出10万元，无结余。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（24）提前下达2022年中央支持公共文化服务体系建设龙潭村文化广场维修资金4万元，本年度支出4万元，无结余。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45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项目资金使用情况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2022年度我镇实际收到预算内专项项目资金429.75万元，上年结转0万元，本年可用项目资金429.75万元，实际支出项目资金429.75万元，主要用于精准扶贫经费、公共设施建设经费、征拆工作开支、财政工作经费、保障福利待遇等方面。年末项目支出结转和结余0万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45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我镇制定了相关项目资金管理制度、专项资金管理办法等，能按照财务管理制度对项目的申请、立项、实施、验收、报账进行管理。项目支出，基本能够按照制度规定执行。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30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政府性基金预算支出情况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 w:bidi="ar"/>
        </w:rPr>
        <w:t>2022年度政府性基金年初预算数340.48万元，调整后预数340.48万元，决算执行数为340.48万元。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30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国有资本经营预算支出情况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 w:bidi="ar"/>
        </w:rPr>
        <w:t>2022年度国有资本经营年初预算数7.72万元，调整后预算数10.17万元，决算执行数为10.17万元。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30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社会保险基金预算支出情况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2022年度社会保险基金年初预算数423.57万元，调整后预算数568万元，决算执行数为568万元。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45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六、部门整体支出绩效情况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right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（一）投入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①在职人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员控制率：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沱江镇</w:t>
      </w:r>
      <w:r>
        <w:rPr>
          <w:rFonts w:hint="eastAsia" w:ascii="宋体" w:hAnsi="宋体" w:eastAsia="宋体" w:cs="宋体"/>
          <w:spacing w:val="-6"/>
          <w:sz w:val="30"/>
          <w:szCs w:val="30"/>
          <w:lang w:eastAsia="zh-CN"/>
        </w:rPr>
        <w:t>政府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20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年度编制人数为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180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人，实际在职人员为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167</w:t>
      </w:r>
      <w:r>
        <w:rPr>
          <w:rFonts w:hint="eastAsia" w:ascii="宋体" w:hAnsi="宋体" w:eastAsia="宋体" w:cs="宋体"/>
          <w:spacing w:val="-6"/>
          <w:sz w:val="30"/>
          <w:szCs w:val="30"/>
        </w:rPr>
        <w:t>人，在职人员控制率＝（在职人员数÷编制数）×100%=</w:t>
      </w:r>
      <w:r>
        <w:rPr>
          <w:rFonts w:hint="eastAsia" w:ascii="宋体" w:hAnsi="宋体" w:eastAsia="宋体" w:cs="宋体"/>
          <w:spacing w:val="-6"/>
          <w:sz w:val="30"/>
          <w:szCs w:val="30"/>
          <w:lang w:val="en-US" w:eastAsia="zh-CN"/>
        </w:rPr>
        <w:t>92.78</w:t>
      </w:r>
      <w:r>
        <w:rPr>
          <w:rFonts w:hint="eastAsia" w:ascii="宋体" w:hAnsi="宋体" w:eastAsia="宋体" w:cs="宋体"/>
          <w:sz w:val="30"/>
          <w:szCs w:val="30"/>
        </w:rPr>
        <w:t>%，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在职人员控制率为92.78%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②“三公经费”变动率：2022年度预算安排“三公经费”总额为6万元， 2021年度预算安排的“三公经费”总额为28万元。沱江镇政府“三公经费”变动率＝（本年度“三公经费”预算数－上年度“三公经费”预算数）÷上年度“三公经费预算数”*100%＝78.57%。本年度“三公经费”变动率为-78.57%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45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过程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1、预算执行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①预算完成率：沱江镇政府上年结转59.23万元，年初预算数3922.25万元，预算追加803.52万元，年末结转0万元，预算完成率=（上年结转+年初预算+本年追加预算-年末结余/上年结转+年初预算+本年追加预算）×100%=100%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②预算控制率：沱江镇政府本年预算调整数为803.52万元，年初预算为3922.25万元，预算控制率=（本年追加预算/年初预算）×100%=20.49%。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③在职人员控制率：沱江镇在职人员167人，编制数180个，在职人员控制率=（在职人员数/编制数）×100%=92.78%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④“三公经费”变动率：本年度“三公经费”预算数为6万元，上年度“三公经费”预算数为28万元，“三公经费”变动率=[（本年度“三公经费”预算数-上年度“三公经费”预算数）/上年度“三公经费”预算数]×100%=-78.57%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⑤公用经费控制率：2022年度沱江镇政府实际公用经费支出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</w:rPr>
        <w:t>为459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万元，年初预算安排公用经费为475.87万元，沱江镇政府公用经费控制率＝（实际支出公用经费总额÷预算安排公用经费总额）×100%＝96.45%。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⑥“三公经费”控制率：2022年度沱江镇政府“三公经费”实际支出数为1.3万元，“三公经费”年初预算数为6万元，本年“三公经费”控制率＝（“三公经费”实际支出数÷“三公经费”预算安排数）×100%＝21.67%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⑦政府采购执行率：沱江镇政府政府采购年初预算376.87万元，2022年度实际政府采购金额为329.66万元，政府采购执行率=（实际政府采购金额/政府采购预算数）×100% =87.47%。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、预算管理情况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①管理制度健全性：沱江镇政府建立了各项管理制度，有财务管理制度，资产管理办法，厉行节约制度，专项资金管理办法，相关管理制度合法、合规、完整，并得到有效执行，财务报账严格按照相关制度审批。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②资金使用合规性：沱江镇政府大部分支出符合国家财经法规和财务管理制度规定，资金的拨付有完整的审批过程和手续。但未按照有关专项资金管理办法的规定，项目的支出未分项目明细核算，部分经费使用不符合相关规定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③预决算信息公开性：已按照政府对预决算规定的信息内容、时限实行了公开。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="45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产出及效果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沱江镇政府结合中心实际开展的工作，设立绩效目标。目标设定客观实际，严格按照预算执行质量、预算执行进度、厉行节约的要求吗，做到了清晰、细化。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1、职责履行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2022年沱江镇政府设定重点绩效目标24个，实际完成工作数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个，实际完成率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75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2、履职效益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（1）2021年全州财政支农政策培训经费1.2万元：督促组织村社区人员开展支农培训，提高其业务水平。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（2）（3）铅锌矿职工分流到沱江古镇社区人员经费补录3.04万元及铅锌矿人员工资与绩效：保障铅锌矿下沉人员工资待遇。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（4）沱江镇2021年文化事业发展专项沱江镇长坪村杨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五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云家庭：发放落实到位。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（5）沱江镇十里牌村公共服务平台建设资金20万元：保障公共平台的修建。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（6）沱江镇乡村振兴驻村工作经费：保障工作队工作开支。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（7）沱江镇征地工作奖励经费50万元：保障政府征地工作开支。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（8）沱江镇财政所2021年度乡镇财政管理经费2万元：保障渭阳社区正常运转。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（9）沱江镇红旗大道拆迁安置区技术工程、凤仙境房屋拆除及风木公路项目款50万元：保障项目工程正常开展。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（10）沱江镇禁毒工作经费年终结转：保障禁毒工作正常开展。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（11）村级服务群众专项经费：为农村设施提供有力保障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。预算未执行。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（12）沱江镇堤溪路临时建筑自拆补助：保障自拆工作正常开展。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（13）沱江镇十里牌道路恢复工程即长湾场地平整项目款40万元：保障项目正常开展。预算未执行。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（14）沱江镇城乡建设用地增减挂钩（2018年第四期）项目资金年终结转：保障政府工作开支。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（15）2022年沱江镇国有企业退休人员社会化管理补助资金：保障国有企业退休人员待遇。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0" w:leftChars="0" w:right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（16）沱江镇落实城区违法违章临时性建筑物拆除经费60万元：为拆除工作提供了保障。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leftChars="200" w:right="0" w:rightChars="0" w:firstLine="300" w:firstLineChars="1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（17）社会惠民资金：保障了社区正常运转。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预算未执行。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（18）村主职干部养老保险年终结转：保障了村主职干部的养老待遇。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预算未执行。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（19）（20）追加2022年春节走访慰问古城涉旅商铺、一线环卫工人经费20万元及2022年春节走访维稳古城涉旅商铺、一线环卫工人经费：保障政府工作正常开展。执行了追加项目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预算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，未执行2022年春节走访维稳古城涉旅商铺、一线环卫工人经费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的预算。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（21）公益性岗位工资：保障公益性岗位人员的工资待遇。</w:t>
      </w: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预算未执行。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（22）沱江镇杜田安置区土石方、场地平整河流改造及道路工程：为农村基建项目的实施提供了保障。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（23）（24）2022年中央支持公共文化服务体系建设龙潭村文化广场维修资金4万元及提前下达沱江镇2021年均衡性转移支付龙潭村村级文化广场修缮10万元：为农村公共文化建设提供了保障。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left="64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申报绩效目标不明确，不够清晰、细化、不可衡量。部门整体支出绩效目标没有相应的数量指标、时效指标、成本指标。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政府采购预算不够精准。20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22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年度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政府采购为329.66万元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，而政府采购年初预算为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376.85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万元，政府采购执行率为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</w:rPr>
        <w:t>87.48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八、下一步改进措施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严格按照《湖南省预算绩效目标管理办法》、《湘西州预算绩效管理绩效目标申报、绩效目标跟踪、绩效评价及应用工作流程》等文件要求编制预算绩效目标，从数量、质量、成本、时效以及经济效益、社会效益、生态效益、可持续影响、满意度等方面进行细化，尽量进行定量表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严格根据政府采购预算原则进行采购，认真学习《中华人民共和国政府采购法》及《中华人民共和国政府采购法实施条例》，增强依法采购意识，提高依法采购水平，同时加强政府采购预算、计划编制，采购实施按规定、按计划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严格根据《会计法》、《会计准则》、《新政府会计制度》等进行会计核算，保证财务数据的真实性、完整性、准确性。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45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after="0" w:line="540" w:lineRule="exact"/>
        <w:ind w:right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zh-CN" w:eastAsia="zh-CN" w:bidi="ar-SA"/>
        </w:rPr>
        <w:t>无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2BEDE"/>
    <w:multiLevelType w:val="singleLevel"/>
    <w:tmpl w:val="A5E2BED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9AC8594"/>
    <w:multiLevelType w:val="singleLevel"/>
    <w:tmpl w:val="D9AC8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EEEEBCA5"/>
    <w:multiLevelType w:val="singleLevel"/>
    <w:tmpl w:val="EEEEBCA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06D43F7"/>
    <w:multiLevelType w:val="singleLevel"/>
    <w:tmpl w:val="206D43F7"/>
    <w:lvl w:ilvl="0" w:tentative="0">
      <w:start w:val="2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abstractNum w:abstractNumId="4">
    <w:nsid w:val="258BD236"/>
    <w:multiLevelType w:val="singleLevel"/>
    <w:tmpl w:val="258BD236"/>
    <w:lvl w:ilvl="0" w:tentative="0">
      <w:start w:val="3"/>
      <w:numFmt w:val="chineseCounting"/>
      <w:suff w:val="nothing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abstractNum w:abstractNumId="5">
    <w:nsid w:val="58969F21"/>
    <w:multiLevelType w:val="singleLevel"/>
    <w:tmpl w:val="58969F21"/>
    <w:lvl w:ilvl="0" w:tentative="0">
      <w:start w:val="2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kOGZkMmIxZTlhMTY2ZjNmNTcwYTAxNWJkNmZjNTMifQ=="/>
  </w:docVars>
  <w:rsids>
    <w:rsidRoot w:val="00000000"/>
    <w:rsid w:val="060E0E99"/>
    <w:rsid w:val="172E0505"/>
    <w:rsid w:val="1FC94CA3"/>
    <w:rsid w:val="27475974"/>
    <w:rsid w:val="2C324A12"/>
    <w:rsid w:val="33970BFB"/>
    <w:rsid w:val="4B885FA4"/>
    <w:rsid w:val="4E8A77B4"/>
    <w:rsid w:val="53C90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0"/>
    <w:rPr>
      <w:rFonts w:hint="default"/>
    </w:rPr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0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index 5"/>
    <w:basedOn w:val="1"/>
    <w:next w:val="1"/>
    <w:semiHidden/>
    <w:unhideWhenUsed/>
    <w:uiPriority w:val="99"/>
    <w:pPr>
      <w:ind w:left="1680"/>
    </w:pPr>
    <w:rPr>
      <w:rFonts w:hint="eastAsia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  <w:rPr>
      <w:rFonts w:hint="eastAsia" w:ascii="Calibri" w:hAnsi="Calibri"/>
    </w:rPr>
  </w:style>
  <w:style w:type="character" w:customStyle="1" w:styleId="10">
    <w:name w:val="页脚 Char Char"/>
    <w:basedOn w:val="8"/>
    <w:link w:val="2"/>
    <w:uiPriority w:val="0"/>
    <w:rPr>
      <w:rFonts w:hint="eastAsia"/>
      <w:sz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2021-03-23T08:53:00Z</dcterms:created>
  <dc:creator>Administrator</dc:creator>
  <cp:lastModifiedBy>please备注陈雨娇</cp:lastModifiedBy>
  <cp:lastPrinted>2023-07-26T01:26:22Z</cp:lastPrinted>
  <dcterms:modified xsi:type="dcterms:W3CDTF">2023-07-26T01:26:35Z</dcterms:modified>
  <dc:title>部门整体支出绩效评价报告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08877C6D05734D0B8DDA71966B7B9420_12</vt:lpwstr>
  </property>
</Properties>
</file>