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部门整体支出绩效评价报告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部门、单位基本情况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单位基本情况，部门职责概述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1．主要职能。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城乡居民社会养老保险政策宣传；②城乡居民社会养老保险的参保登记管理、缴费申报管理、基金征缴、个人账户建立与管理、待遇核定与发放、保险关系转移接续；③城乡居民社会养老保险档案管理、数据统计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机构情况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。据编委核定，凤凰县城乡居民社会养老保险管理服务局（以下简称：凤凰县城乡居保局）为副科级全额拨款事业单位。内设办公室、参保登记管理等7个职能股室。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3．人员情况。核定编制13人，其中全额编13人，年初在职人员13人，2021年4月人员调出1人，年末实有12人。单位无退休人员。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（二）单位支出规模、使用方向和主要内容、涉及范围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年度资金收支决算情况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2021年收入实际完成179.49万元，其中一般公共预算拨款收入169.36万元，其他收入10.13万元，比上年170.09万元增加9.4万元，增长5.52%;2021年，本部门支出180.93万元，比上年168.61万元减少12.32万元，增长7.31%；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“三公经费”支出使用和管理情况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年，“三公”经费完成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67717.31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61119增加6598.31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0元，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完成21241元，比上年减2918元，下降12.08%，减少的主要原因是：依据中央“八项规定”和厉行节约的原则，从严控制公务接待，压缩接待开支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公车运行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46476.31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元，较上年增加9516.31元，增长25.75%，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的主要原因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车辆已达到使用年限，车辆维修成本增加，导致当年公车运行维护费较上年增加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2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部门资产配置情况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2021年单位资产合计期末余额17335.96元，其中流动资产477.54元，非流动资产16858.42元。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2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部门政府采购情况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2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部门政府采购为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2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公用经费执行情况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2021年公用经费支出163295元，其中办公费32268.62元，印刷费15080元，差旅费24600元，公务接待费8042.24元，工会经费5490元，福利费16200元，公务用车运行维护费3614元，其他商品和服务支出58000.14元。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2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6.绩效目标申报情况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2021年整体绩效目标申报三公经费67717.31元，其中公车运行及维护费46476.31元，公务接待费21241元；项目支出-业务工作专项347403元；公用经费163295元，其中办公经费32268.62元，水费、电费、差旅费24600元。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二、一般公共预算支出情况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2021年一般公共预算支出基本支出1461901.45元，其中人员经费支出1197314.6元，公用经费264586.85元。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年度专项资金收支情况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2021年专项资金收入320000元，专项资金支出347403元，年末结转结余469.47元。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5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2021年专项资金为“社会养老保险业务费32万元”，全部用于完成本年度各项工作既定目标，推进城乡居保参保缴费全覆盖，确保养老金及代发资金发放到位。当年已支出320000元，结余0元。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45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3.项目管理情况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结合实际，制定城乡居保专项资金管理制度，严格按经办流程，确保项目资金使用规范、安全、有实效。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政府性基金预算支出情况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四、国有资本经营预算支出情况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五、社会保险基金预算支出情况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六、部门整体支出绩效情况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（一）投入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 预算配置控制较好。财政供养人员控制在预算编制以内，编制内在职人员控制率≦100%；“三公”经费预算总额较上年增加6400元，“三公”经费变动率9.4%。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（二）过程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1.预算执行比较到位。支出总额控制在预算总额以内，预算完成率达到100%，预算控制率为-2.62%，全年无截留或滞留专项资金情况；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2.预算管理较为理想。制度执行总体较为有效，全年公用经费控制率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为92.88%；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“三公”经费总体控制较好，未超本年预算和上年决算支出，“三公”经费控制率为91.02%；对于单位的政府采购项目，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遵守政府采购相关法律法规的规定，办理了相关审批手续。严格预算管理，坚持执行财务制度，制定本部门内部财务制定、会计和算制度、厉行节约制度，进一步明确了财政预算资金审批手续和拨付程序、机关行政经费审批手续和报销程序，加强了财务管理，规范了收支行为，保证了财务管理工作规范有序进行。资金使用管理逐步加强，单位支出严格按照国家财经法规和财务管理制度规定执行，资金拨付有完整的审批程序和手续，所有支出均是通过本单位财政零余额账户支付，资金使用无截留、挤占、挪用、虚列支出等情况。部门预算收支严格按年初部门预算方案执行，部门预决算、“三公”经费预决算按要求及时在人社局门户网进行了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（三）产出及效果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1.各项工作实际完成情况：2021 年，城乡居民养老保险参保缴费含补缴)12.69万人，征缴基金3224.64万元 ，按月为 5.58 万名待遇人员累计发放养老金 80063.17万元，按时足额社会化发放率 100%;累计完成丧葬补助金发放 2606 人，发放 104.24万元，;完成“四类人员”代发共计 2161人，代发总额 324.54 万元(乡村老师 1323 人，代发总额 156.27 万元，乡村医生 820 人，代发总额 164.31 万元);完成独生子女代发 15 人，代发总额 2.77万元，核工业3人，代发总额 1.19万元。)为参加城乡居保失地农民申报被征地补助 2749.77 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经济、社会效益：保证了我局城乡养老保险各项工作的顺利运行，保障了我县广大城乡居民的基本生活保障，让他们实实在在地享受到了国家的养老政策，经济社会效益显著。有力促进全县城乡居保制度的建立和发展，解决城乡居民养老难题，促进城乡和谐、稳定；加强政府公信力；促进当地日常消费，增长地方经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行政效能：针对性的修订了相关制度，财务制度更为完善；干部认真学习国家相关文件政策，将厉行节约、反对浪费作为机关作风建设的重要内容，通过宣传学习和财务审核审批程序的规范，干部能基本熟悉和领会各级政府颁发相关文件精神，并已逐步形成了崇尚节约、厉行节约、反对浪费的机关文化；严格落实制度的执行，不断强化内部管理，收到了较好的成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4.社会公众或服务对象满意度：通过各项工作的开展，保障城乡居民老有所养，加强了城乡基金安全，简化了办事程序，维护了人民群众的权益，提升了服务水平，社会公众的满意度达到了90%以上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七、存在的问题及原因分析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64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内控制度需进一步完善，强化财务约束监督体制。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八、下一步改进措施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进一步加强财政资金预算绩效管理，更加科学合理编制经费预算；进一步完善内部管理制度，提升管理技能。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九、其他需要说明的情况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凤凰县城乡居民社会养老保险管理服务局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5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2022年6月15日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BF63E"/>
    <w:multiLevelType w:val="singleLevel"/>
    <w:tmpl w:val="B61BF63E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29EF349"/>
    <w:multiLevelType w:val="singleLevel"/>
    <w:tmpl w:val="329EF3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DJlMDkwZjAxNTRjODY0NTU2ZTNlMTZiN2Y1MDcifQ=="/>
  </w:docVars>
  <w:rsids>
    <w:rsidRoot w:val="00000000"/>
    <w:rsid w:val="004C030A"/>
    <w:rsid w:val="00B773CD"/>
    <w:rsid w:val="035148F2"/>
    <w:rsid w:val="12DA1AE3"/>
    <w:rsid w:val="13225964"/>
    <w:rsid w:val="17842C94"/>
    <w:rsid w:val="1A9A6727"/>
    <w:rsid w:val="1F66307C"/>
    <w:rsid w:val="36B61418"/>
    <w:rsid w:val="3CCD6091"/>
    <w:rsid w:val="3D152858"/>
    <w:rsid w:val="3FED3A2E"/>
    <w:rsid w:val="4AAA7905"/>
    <w:rsid w:val="5AA8019C"/>
    <w:rsid w:val="67880147"/>
    <w:rsid w:val="6C9E021C"/>
    <w:rsid w:val="70335C2F"/>
    <w:rsid w:val="71847186"/>
    <w:rsid w:val="774F5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0"/>
    <w:rPr>
      <w:rFonts w:hint="default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1680"/>
    </w:pPr>
    <w:rPr>
      <w:rFonts w:hint="eastAsia"/>
    </w:rPr>
  </w:style>
  <w:style w:type="paragraph" w:styleId="3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  <w:rPr>
      <w:rFonts w:hint="eastAsia" w:ascii="Calibri" w:hAnsi="Calibri"/>
    </w:rPr>
  </w:style>
  <w:style w:type="character" w:customStyle="1" w:styleId="9">
    <w:name w:val="页脚 Char Char"/>
    <w:basedOn w:val="7"/>
    <w:link w:val="3"/>
    <w:qFormat/>
    <w:uiPriority w:val="0"/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2355</Words>
  <Characters>2762</Characters>
  <Lines>0</Lines>
  <Paragraphs>0</Paragraphs>
  <TotalTime>272</TotalTime>
  <ScaleCrop>false</ScaleCrop>
  <LinksUpToDate>false</LinksUpToDate>
  <CharactersWithSpaces>2824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2021-03-23T08:53:00Z</dcterms:created>
  <dc:creator>Administrator</dc:creator>
  <cp:lastModifiedBy>ξ梦婆婆ζ</cp:lastModifiedBy>
  <dcterms:modified xsi:type="dcterms:W3CDTF">2022-06-17T07:38:55Z</dcterms:modified>
  <dc:title>部门整体支出绩效评价报告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8F3A3529860142BF9D66A88D3E29445E</vt:lpwstr>
  </property>
</Properties>
</file>