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240" w:lineRule="auto"/>
        <w:ind w:left="0" w:right="0" w:firstLine="0"/>
        <w:jc w:val="center"/>
        <w:textAlignment w:val="center"/>
        <w:rPr>
          <w:rFonts w:hint="eastAsia" w:asciiTheme="majorEastAsia" w:hAnsiTheme="majorEastAsia" w:eastAsiaTheme="majorEastAsia" w:cstheme="majorEastAsia"/>
          <w:b/>
          <w:i w:val="0"/>
          <w:caps w:val="0"/>
          <w:color w:val="000000"/>
          <w:spacing w:val="0"/>
          <w:kern w:val="0"/>
          <w:sz w:val="44"/>
          <w:szCs w:val="44"/>
          <w:shd w:val="clear" w:fill="FFFFFF"/>
          <w:lang w:val="en-US" w:eastAsia="zh-CN" w:bidi="ar"/>
        </w:rPr>
      </w:pPr>
      <w:r>
        <w:rPr>
          <w:rFonts w:hint="eastAsia" w:asciiTheme="majorEastAsia" w:hAnsiTheme="majorEastAsia" w:eastAsiaTheme="majorEastAsia" w:cstheme="majorEastAsia"/>
          <w:b/>
          <w:i w:val="0"/>
          <w:caps w:val="0"/>
          <w:color w:val="000000"/>
          <w:spacing w:val="0"/>
          <w:kern w:val="0"/>
          <w:sz w:val="44"/>
          <w:szCs w:val="44"/>
          <w:shd w:val="clear" w:fill="FFFFFF"/>
          <w:lang w:val="en-US" w:eastAsia="zh-CN" w:bidi="ar"/>
        </w:rPr>
        <w:t xml:space="preserve">  凤凰县文化旅游广电局2020年政府信息公开工作年度报告</w:t>
      </w:r>
    </w:p>
    <w:p>
      <w:pPr>
        <w:rPr>
          <w:rFonts w:hint="eastAsia" w:ascii="仿宋" w:hAnsi="仿宋" w:eastAsia="仿宋" w:cs="仿宋"/>
          <w:b w:val="0"/>
          <w:i w:val="0"/>
          <w:caps w:val="0"/>
          <w:color w:val="000000"/>
          <w:spacing w:val="0"/>
          <w:kern w:val="0"/>
          <w:sz w:val="32"/>
          <w:szCs w:val="32"/>
          <w:shd w:val="clear" w:fill="FFFFFF"/>
          <w:lang w:val="en-US" w:eastAsia="zh-CN" w:bidi="ar"/>
        </w:rPr>
      </w:pPr>
    </w:p>
    <w:p>
      <w:pPr>
        <w:keepNext w:val="0"/>
        <w:keepLines w:val="0"/>
        <w:widowControl/>
        <w:suppressLineNumbers w:val="0"/>
        <w:shd w:val="clear" w:fill="FFFFFF"/>
        <w:spacing w:before="0" w:beforeAutospacing="0" w:after="0" w:afterAutospacing="0" w:line="240" w:lineRule="auto"/>
        <w:ind w:left="0" w:right="0" w:firstLine="640" w:firstLineChars="200"/>
        <w:jc w:val="both"/>
        <w:textAlignment w:val="center"/>
        <w:rPr>
          <w:rFonts w:hint="default" w:ascii="仿宋" w:hAnsi="仿宋" w:eastAsia="仿宋" w:cs="仿宋"/>
          <w:b w:val="0"/>
          <w:bCs w:val="0"/>
          <w:i w:val="0"/>
          <w:caps w:val="0"/>
          <w:color w:val="000000"/>
          <w:spacing w:val="0"/>
          <w:kern w:val="0"/>
          <w:sz w:val="32"/>
          <w:szCs w:val="32"/>
          <w:shd w:val="clear" w:fill="FFFFFF"/>
          <w:lang w:val="en-US" w:eastAsia="zh-CN" w:bidi="ar"/>
        </w:rPr>
      </w:pPr>
      <w:r>
        <w:rPr>
          <w:rFonts w:hint="eastAsia" w:ascii="仿宋" w:hAnsi="仿宋" w:eastAsia="仿宋" w:cs="仿宋"/>
          <w:b w:val="0"/>
          <w:bCs w:val="0"/>
          <w:i w:val="0"/>
          <w:caps w:val="0"/>
          <w:color w:val="000000"/>
          <w:spacing w:val="0"/>
          <w:kern w:val="0"/>
          <w:sz w:val="32"/>
          <w:szCs w:val="32"/>
          <w:shd w:val="clear" w:fill="FFFFFF"/>
          <w:lang w:val="en-US" w:eastAsia="zh-CN" w:bidi="ar"/>
        </w:rPr>
        <w:t xml:space="preserve">根据《中华人民共和国政府信息公开条例》（国务院令第711号）（以下简称“条例”）和《国务院办公厅政府信息与政务公开办公室关于政府信息公开工作年度报告有关事项的通知》（国办公开办函〔2019〕60号）等文件精神和省、州工作具体要求，结合实际，编制《凤凰县文化旅游广电局2020年政府信息公开工作年度报告》，所列数据自2020年1月1日起至2020年12月31日止，通过凤凰县文化旅游广电局官方网站向社会公开如下:        </w:t>
      </w:r>
    </w:p>
    <w:p>
      <w:pPr>
        <w:numPr>
          <w:ilvl w:val="0"/>
          <w:numId w:val="1"/>
        </w:numPr>
        <w:ind w:firstLine="640" w:firstLineChars="200"/>
        <w:rPr>
          <w:rFonts w:hint="eastAsia" w:ascii="仿宋" w:hAnsi="仿宋" w:eastAsia="仿宋" w:cs="仿宋"/>
          <w:b w:val="0"/>
          <w:bCs w:val="0"/>
          <w:i w:val="0"/>
          <w:caps w:val="0"/>
          <w:color w:val="000000"/>
          <w:spacing w:val="0"/>
          <w:kern w:val="0"/>
          <w:sz w:val="32"/>
          <w:szCs w:val="32"/>
          <w:shd w:val="clear" w:fill="FFFFFF"/>
          <w:lang w:val="en-US" w:eastAsia="zh-CN" w:bidi="ar"/>
        </w:rPr>
      </w:pPr>
      <w:r>
        <w:rPr>
          <w:rFonts w:hint="eastAsia" w:ascii="仿宋" w:hAnsi="仿宋" w:eastAsia="仿宋" w:cs="仿宋"/>
          <w:b w:val="0"/>
          <w:bCs w:val="0"/>
          <w:i w:val="0"/>
          <w:caps w:val="0"/>
          <w:color w:val="000000"/>
          <w:spacing w:val="0"/>
          <w:kern w:val="0"/>
          <w:sz w:val="32"/>
          <w:szCs w:val="32"/>
          <w:shd w:val="clear" w:fill="FFFFFF"/>
          <w:lang w:val="en-US" w:eastAsia="zh-CN" w:bidi="ar"/>
        </w:rPr>
        <w:t>总体情况</w:t>
      </w:r>
    </w:p>
    <w:p>
      <w:pPr>
        <w:ind w:firstLine="643"/>
        <w:jc w:val="both"/>
        <w:rPr>
          <w:rFonts w:hint="eastAsia" w:ascii="仿宋" w:hAnsi="仿宋" w:eastAsia="仿宋" w:cs="仿宋"/>
          <w:b w:val="0"/>
          <w:i w:val="0"/>
          <w:caps w:val="0"/>
          <w:color w:val="000000"/>
          <w:spacing w:val="0"/>
          <w:sz w:val="31"/>
          <w:szCs w:val="31"/>
          <w:shd w:val="clear" w:fill="FFFFFF"/>
        </w:rPr>
      </w:pPr>
      <w:r>
        <w:rPr>
          <w:rFonts w:ascii="仿宋" w:hAnsi="仿宋" w:eastAsia="仿宋" w:cs="仿宋"/>
          <w:b w:val="0"/>
          <w:i w:val="0"/>
          <w:caps w:val="0"/>
          <w:color w:val="000000"/>
          <w:spacing w:val="0"/>
          <w:sz w:val="31"/>
          <w:szCs w:val="31"/>
          <w:shd w:val="clear" w:fill="FFFFFF"/>
        </w:rPr>
        <w:t>2020</w:t>
      </w:r>
      <w:r>
        <w:rPr>
          <w:rFonts w:hint="eastAsia" w:ascii="仿宋" w:hAnsi="仿宋" w:eastAsia="仿宋" w:cs="仿宋"/>
          <w:b w:val="0"/>
          <w:i w:val="0"/>
          <w:caps w:val="0"/>
          <w:color w:val="000000"/>
          <w:spacing w:val="0"/>
          <w:sz w:val="31"/>
          <w:szCs w:val="31"/>
          <w:shd w:val="clear" w:fill="FFFFFF"/>
        </w:rPr>
        <w:t>年，</w:t>
      </w:r>
      <w:r>
        <w:rPr>
          <w:rFonts w:hint="eastAsia" w:ascii="仿宋" w:hAnsi="仿宋" w:eastAsia="仿宋" w:cs="仿宋"/>
          <w:b w:val="0"/>
          <w:i w:val="0"/>
          <w:caps w:val="0"/>
          <w:color w:val="000000"/>
          <w:spacing w:val="0"/>
          <w:sz w:val="31"/>
          <w:szCs w:val="31"/>
          <w:shd w:val="clear" w:fill="FFFFFF"/>
          <w:lang w:eastAsia="zh-CN"/>
        </w:rPr>
        <w:t>我</w:t>
      </w:r>
      <w:r>
        <w:rPr>
          <w:rFonts w:hint="eastAsia" w:ascii="仿宋" w:hAnsi="仿宋" w:eastAsia="仿宋" w:cs="仿宋"/>
          <w:b w:val="0"/>
          <w:i w:val="0"/>
          <w:caps w:val="0"/>
          <w:color w:val="000000"/>
          <w:spacing w:val="0"/>
          <w:sz w:val="31"/>
          <w:szCs w:val="31"/>
          <w:shd w:val="clear" w:fill="FFFFFF"/>
        </w:rPr>
        <w:t>局坚持以习近平新时代中国特色社会主义思想为指导，全面贯彻落实党的十九大和十九届二中、三中、四中、五中全会精神，围绕全</w:t>
      </w:r>
      <w:r>
        <w:rPr>
          <w:rFonts w:hint="eastAsia" w:ascii="仿宋" w:hAnsi="仿宋" w:eastAsia="仿宋" w:cs="仿宋"/>
          <w:b w:val="0"/>
          <w:i w:val="0"/>
          <w:caps w:val="0"/>
          <w:color w:val="000000"/>
          <w:spacing w:val="0"/>
          <w:sz w:val="31"/>
          <w:szCs w:val="31"/>
          <w:shd w:val="clear" w:fill="FFFFFF"/>
          <w:lang w:eastAsia="zh-CN"/>
        </w:rPr>
        <w:t>县</w:t>
      </w:r>
      <w:r>
        <w:rPr>
          <w:rFonts w:hint="eastAsia" w:ascii="仿宋" w:hAnsi="仿宋" w:eastAsia="仿宋" w:cs="仿宋"/>
          <w:b w:val="0"/>
          <w:i w:val="0"/>
          <w:caps w:val="0"/>
          <w:color w:val="000000"/>
          <w:spacing w:val="0"/>
          <w:sz w:val="31"/>
          <w:szCs w:val="31"/>
          <w:shd w:val="clear" w:fill="FFFFFF"/>
        </w:rPr>
        <w:t>政务公开工作重点安排，</w:t>
      </w:r>
      <w:r>
        <w:rPr>
          <w:rFonts w:hint="eastAsia" w:ascii="仿宋" w:hAnsi="仿宋" w:eastAsia="仿宋" w:cs="仿宋"/>
          <w:b w:val="0"/>
          <w:i w:val="0"/>
          <w:caps w:val="0"/>
          <w:color w:val="000000"/>
          <w:spacing w:val="0"/>
          <w:kern w:val="0"/>
          <w:sz w:val="32"/>
          <w:szCs w:val="32"/>
          <w:shd w:val="clear" w:fill="FFFFFF"/>
          <w:lang w:val="en-US" w:eastAsia="zh-CN" w:bidi="ar"/>
        </w:rPr>
        <w:t>按照县人民政府关于政府信息公开工作的各项要求，</w:t>
      </w:r>
      <w:r>
        <w:rPr>
          <w:rFonts w:hint="eastAsia" w:ascii="仿宋" w:hAnsi="仿宋" w:eastAsia="仿宋" w:cs="仿宋"/>
          <w:b w:val="0"/>
          <w:i w:val="0"/>
          <w:caps w:val="0"/>
          <w:color w:val="000000"/>
          <w:spacing w:val="0"/>
          <w:sz w:val="31"/>
          <w:szCs w:val="31"/>
          <w:shd w:val="clear" w:fill="FFFFFF"/>
        </w:rPr>
        <w:t>认真办理政府信息公开申请</w:t>
      </w:r>
      <w:r>
        <w:rPr>
          <w:rFonts w:hint="eastAsia" w:ascii="仿宋" w:hAnsi="仿宋" w:eastAsia="仿宋" w:cs="仿宋"/>
          <w:b w:val="0"/>
          <w:i w:val="0"/>
          <w:caps w:val="0"/>
          <w:color w:val="000000"/>
          <w:spacing w:val="0"/>
          <w:sz w:val="31"/>
          <w:szCs w:val="31"/>
          <w:shd w:val="clear" w:fill="FFFFFF"/>
        </w:rPr>
        <w:t>，深化重点领域信息公开，</w:t>
      </w:r>
      <w:r>
        <w:rPr>
          <w:rFonts w:hint="eastAsia" w:ascii="仿宋" w:hAnsi="仿宋" w:eastAsia="仿宋" w:cs="仿宋"/>
          <w:b w:val="0"/>
          <w:i w:val="0"/>
          <w:caps w:val="0"/>
          <w:color w:val="000000"/>
          <w:spacing w:val="0"/>
          <w:sz w:val="31"/>
          <w:szCs w:val="31"/>
          <w:shd w:val="clear" w:fill="FFFFFF"/>
          <w:lang w:eastAsia="zh-CN"/>
        </w:rPr>
        <w:t>强化责任落实，</w:t>
      </w:r>
      <w:r>
        <w:rPr>
          <w:rFonts w:hint="eastAsia" w:ascii="仿宋" w:hAnsi="仿宋" w:eastAsia="仿宋" w:cs="仿宋"/>
          <w:b w:val="0"/>
          <w:i w:val="0"/>
          <w:caps w:val="0"/>
          <w:color w:val="000000"/>
          <w:spacing w:val="0"/>
          <w:sz w:val="31"/>
          <w:szCs w:val="31"/>
          <w:shd w:val="clear" w:fill="FFFFFF"/>
        </w:rPr>
        <w:t>完善工作机制</w:t>
      </w:r>
      <w:r>
        <w:rPr>
          <w:rFonts w:hint="eastAsia" w:ascii="仿宋" w:hAnsi="仿宋" w:eastAsia="仿宋" w:cs="仿宋"/>
          <w:b w:val="0"/>
          <w:i w:val="0"/>
          <w:caps w:val="0"/>
          <w:color w:val="000000"/>
          <w:spacing w:val="0"/>
          <w:sz w:val="31"/>
          <w:szCs w:val="31"/>
          <w:shd w:val="clear" w:fill="FFFFFF"/>
        </w:rPr>
        <w:t>，政务公开工作取得了良好成效。</w:t>
      </w:r>
    </w:p>
    <w:p>
      <w:pPr>
        <w:numPr>
          <w:ilvl w:val="0"/>
          <w:numId w:val="0"/>
        </w:numPr>
        <w:ind w:firstLine="643" w:firstLineChars="200"/>
        <w:rPr>
          <w:rFonts w:hint="eastAsia" w:ascii="楷体" w:hAnsi="楷体" w:eastAsia="楷体" w:cs="楷体"/>
          <w:b/>
          <w:bCs/>
          <w:i w:val="0"/>
          <w:caps w:val="0"/>
          <w:color w:val="000000"/>
          <w:spacing w:val="0"/>
          <w:kern w:val="0"/>
          <w:sz w:val="32"/>
          <w:szCs w:val="32"/>
          <w:shd w:val="clear" w:fill="FFFFFF"/>
          <w:lang w:val="en-US" w:eastAsia="zh-CN" w:bidi="ar"/>
        </w:rPr>
      </w:pPr>
      <w:r>
        <w:rPr>
          <w:rFonts w:hint="eastAsia" w:ascii="楷体" w:hAnsi="楷体" w:eastAsia="楷体" w:cs="楷体"/>
          <w:b/>
          <w:bCs/>
          <w:i w:val="0"/>
          <w:caps w:val="0"/>
          <w:color w:val="000000"/>
          <w:spacing w:val="0"/>
          <w:kern w:val="0"/>
          <w:sz w:val="32"/>
          <w:szCs w:val="32"/>
          <w:shd w:val="clear" w:fill="FFFFFF"/>
          <w:lang w:val="en-US" w:eastAsia="zh-CN" w:bidi="ar"/>
        </w:rPr>
        <w:t>（一）加强组织领导，完善工作机构</w:t>
      </w:r>
    </w:p>
    <w:p>
      <w:pPr>
        <w:ind w:firstLine="643"/>
        <w:rPr>
          <w:rFonts w:hint="eastAsia" w:ascii="仿宋" w:hAnsi="仿宋" w:eastAsia="仿宋" w:cs="仿宋"/>
          <w:b w:val="0"/>
          <w:bCs w:val="0"/>
          <w:i w:val="0"/>
          <w:caps w:val="0"/>
          <w:color w:val="000000"/>
          <w:spacing w:val="0"/>
          <w:kern w:val="0"/>
          <w:sz w:val="32"/>
          <w:szCs w:val="32"/>
          <w:shd w:val="clear" w:fill="FFFFFF"/>
          <w:lang w:val="en-US" w:eastAsia="zh-CN" w:bidi="ar"/>
        </w:rPr>
      </w:pPr>
      <w:r>
        <w:rPr>
          <w:rFonts w:hint="eastAsia" w:ascii="仿宋" w:hAnsi="仿宋" w:eastAsia="仿宋" w:cs="仿宋"/>
          <w:b w:val="0"/>
          <w:bCs w:val="0"/>
          <w:i w:val="0"/>
          <w:caps w:val="0"/>
          <w:color w:val="000000"/>
          <w:spacing w:val="0"/>
          <w:kern w:val="0"/>
          <w:sz w:val="32"/>
          <w:szCs w:val="32"/>
          <w:shd w:val="clear" w:fill="FFFFFF"/>
          <w:lang w:val="en-US" w:eastAsia="zh-CN" w:bidi="ar"/>
        </w:rPr>
        <w:t>我局高度重视信息公开工作，为加强组织领导，确保政务公开工作落到实处，由局主要领导亲自抓、负总责，具体工作由办公室负责落实，设立责任心强、精通网络技术的专职人员具体负责收集整理公开信息，做到工作明确、任务明确、责任明确，为政府信息公开工作的开展提供了有力保障。</w:t>
      </w:r>
    </w:p>
    <w:p>
      <w:pPr>
        <w:numPr>
          <w:ilvl w:val="0"/>
          <w:numId w:val="0"/>
        </w:numPr>
        <w:ind w:firstLine="643" w:firstLineChars="200"/>
        <w:rPr>
          <w:rFonts w:hint="eastAsia" w:ascii="仿宋" w:hAnsi="仿宋" w:eastAsia="仿宋" w:cs="仿宋"/>
          <w:b/>
          <w:bCs/>
          <w:i w:val="0"/>
          <w:caps w:val="0"/>
          <w:color w:val="000000"/>
          <w:spacing w:val="0"/>
          <w:kern w:val="0"/>
          <w:sz w:val="32"/>
          <w:szCs w:val="32"/>
          <w:shd w:val="clear" w:fill="FFFFFF"/>
          <w:lang w:val="en-US" w:eastAsia="zh-CN" w:bidi="ar"/>
        </w:rPr>
      </w:pPr>
      <w:r>
        <w:rPr>
          <w:rFonts w:hint="eastAsia" w:ascii="楷体" w:hAnsi="楷体" w:eastAsia="楷体" w:cs="楷体"/>
          <w:b/>
          <w:bCs/>
          <w:i w:val="0"/>
          <w:caps w:val="0"/>
          <w:color w:val="000000"/>
          <w:spacing w:val="0"/>
          <w:kern w:val="0"/>
          <w:sz w:val="32"/>
          <w:szCs w:val="32"/>
          <w:shd w:val="clear" w:fill="FFFFFF"/>
          <w:lang w:val="en-US" w:eastAsia="zh-CN" w:bidi="ar"/>
        </w:rPr>
        <w:t>（二）注重主动公开 及时更新内容</w:t>
      </w:r>
    </w:p>
    <w:p>
      <w:pPr>
        <w:ind w:firstLine="643"/>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bCs w:val="0"/>
          <w:i w:val="0"/>
          <w:caps w:val="0"/>
          <w:color w:val="000000"/>
          <w:spacing w:val="0"/>
          <w:kern w:val="0"/>
          <w:sz w:val="32"/>
          <w:szCs w:val="32"/>
          <w:shd w:val="clear" w:fill="FFFFFF"/>
          <w:lang w:val="en-US" w:eastAsia="zh-CN" w:bidi="ar"/>
        </w:rPr>
        <w:t>2020年，我局主要通过政府门户网站主动公开部门政府信息，包括机构职能、工作动态、文件通知、计划总结、党建工作、财政预决算信息等以及需要社会公众广泛知晓或者参与的信息，坚持做好疫情防控常态化下疫情信息发布工作，依法做到及时、准确、公开、透明。全年主动公开信息共计100条，其中，公开机构职能2条，工作动态75条、文件通知2条、计划总结4条、党建工作6条、财政预决算信息11条，圆满完成了2020年度主动公开信息类政府信息网上发布工作。</w:t>
      </w:r>
    </w:p>
    <w:p>
      <w:pPr>
        <w:numPr>
          <w:ilvl w:val="0"/>
          <w:numId w:val="0"/>
        </w:numPr>
        <w:ind w:firstLine="643" w:firstLineChars="200"/>
        <w:rPr>
          <w:rFonts w:hint="eastAsia" w:ascii="楷体" w:hAnsi="楷体" w:eastAsia="楷体" w:cs="楷体"/>
          <w:b/>
          <w:bCs/>
          <w:i w:val="0"/>
          <w:caps w:val="0"/>
          <w:color w:val="000000"/>
          <w:spacing w:val="0"/>
          <w:kern w:val="0"/>
          <w:sz w:val="32"/>
          <w:szCs w:val="32"/>
          <w:shd w:val="clear" w:fill="FFFFFF"/>
          <w:lang w:val="en-US" w:eastAsia="zh-CN" w:bidi="ar"/>
        </w:rPr>
      </w:pPr>
      <w:r>
        <w:rPr>
          <w:rFonts w:hint="eastAsia" w:ascii="楷体" w:hAnsi="楷体" w:eastAsia="楷体" w:cs="楷体"/>
          <w:b/>
          <w:bCs/>
          <w:i w:val="0"/>
          <w:caps w:val="0"/>
          <w:color w:val="000000"/>
          <w:spacing w:val="0"/>
          <w:kern w:val="0"/>
          <w:sz w:val="32"/>
          <w:szCs w:val="32"/>
          <w:shd w:val="clear" w:fill="FFFFFF"/>
          <w:lang w:val="en-US" w:eastAsia="zh-CN" w:bidi="ar"/>
        </w:rPr>
        <w:t>（三）丰富载体形式 畅通公开渠道</w:t>
      </w:r>
    </w:p>
    <w:p>
      <w:pPr>
        <w:ind w:firstLine="640"/>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我局在政府信息公开工作方面建立了多项措施，丰富信息公开形式，畅通信息公开渠道。一是充分利用网站公开大量文化旅游广电行业信息资料。二是在局机关办公楼入口走廊显著位置，通过设置服务承诺公示牌公开本单位业务项目办事指南，明确了项目名称、审批依据、申报材料、办理程序、办理时限、经办人等具体信息。三是为解决热点、难点问题和加强旅游市场的规范管理，为群众排忧解难，我局继续完善了旅游投诉制度，在全县重点景区（点），公布凤凰县旅游咨询及投诉电话号码，及时受理投诉，限时进行办结。四是采取制作党务政务信息公开栏全面公开了工作职能、局领导及股室领导工作职责、旅游投诉工作职责，制作桌牌明示等形式公开办事人员的职务、姓名、工作范围，大大方便了游客及办事群众。 </w:t>
      </w:r>
    </w:p>
    <w:p>
      <w:pPr>
        <w:ind w:firstLine="643"/>
        <w:rPr>
          <w:rFonts w:hint="eastAsia" w:ascii="仿宋" w:hAnsi="仿宋" w:eastAsia="仿宋" w:cs="仿宋"/>
          <w:b w:val="0"/>
          <w:bCs w:val="0"/>
          <w:i w:val="0"/>
          <w:caps w:val="0"/>
          <w:color w:val="000000"/>
          <w:spacing w:val="0"/>
          <w:kern w:val="0"/>
          <w:sz w:val="32"/>
          <w:szCs w:val="32"/>
          <w:shd w:val="clear" w:fill="FFFFFF"/>
          <w:lang w:val="en-US" w:eastAsia="zh-CN" w:bidi="ar"/>
        </w:rPr>
      </w:pPr>
    </w:p>
    <w:p>
      <w:pPr>
        <w:ind w:firstLine="640"/>
        <w:rPr>
          <w:rFonts w:hint="eastAsia" w:ascii="仿宋" w:hAnsi="仿宋" w:eastAsia="仿宋" w:cs="仿宋"/>
          <w:b w:val="0"/>
          <w:i w:val="0"/>
          <w:caps w:val="0"/>
          <w:color w:val="000000"/>
          <w:spacing w:val="0"/>
          <w:kern w:val="0"/>
          <w:sz w:val="32"/>
          <w:szCs w:val="32"/>
          <w:shd w:val="clear" w:fill="FFFFFF"/>
          <w:lang w:val="en-US" w:eastAsia="zh-CN" w:bidi="ar"/>
        </w:rPr>
      </w:pPr>
    </w:p>
    <w:p>
      <w:pPr>
        <w:numPr>
          <w:ilvl w:val="0"/>
          <w:numId w:val="0"/>
        </w:numPr>
        <w:rPr>
          <w:rFonts w:hint="eastAsia" w:ascii="微软雅黑" w:hAnsi="微软雅黑" w:eastAsia="微软雅黑" w:cs="微软雅黑"/>
          <w:b w:val="0"/>
          <w:i w:val="0"/>
          <w:caps w:val="0"/>
          <w:color w:val="000000"/>
          <w:spacing w:val="0"/>
          <w:kern w:val="0"/>
          <w:sz w:val="32"/>
          <w:szCs w:val="32"/>
          <w:shd w:val="clear" w:fill="FFFFFF"/>
          <w:lang w:val="en-US" w:eastAsia="zh-CN" w:bidi="ar"/>
        </w:rPr>
      </w:pPr>
      <w:r>
        <w:rPr>
          <w:rFonts w:hint="eastAsia" w:ascii="仿宋" w:hAnsi="仿宋" w:eastAsia="仿宋" w:cs="仿宋"/>
          <w:b/>
          <w:bCs/>
          <w:i w:val="0"/>
          <w:caps w:val="0"/>
          <w:color w:val="000000"/>
          <w:spacing w:val="0"/>
          <w:kern w:val="0"/>
          <w:sz w:val="32"/>
          <w:szCs w:val="32"/>
          <w:shd w:val="clear" w:fill="FFFFFF"/>
          <w:lang w:val="en-US" w:eastAsia="zh-CN" w:bidi="ar"/>
        </w:rPr>
        <w:t xml:space="preserve">    二、主动公开政府信息情况</w:t>
      </w:r>
    </w:p>
    <w:tbl>
      <w:tblPr>
        <w:tblStyle w:val="3"/>
        <w:tblW w:w="8140" w:type="dxa"/>
        <w:jc w:val="center"/>
        <w:tblLayout w:type="fixed"/>
        <w:tblCellMar>
          <w:top w:w="15" w:type="dxa"/>
          <w:left w:w="15" w:type="dxa"/>
          <w:bottom w:w="15" w:type="dxa"/>
          <w:right w:w="15" w:type="dxa"/>
        </w:tblCellMar>
      </w:tblPr>
      <w:tblGrid>
        <w:gridCol w:w="3067"/>
        <w:gridCol w:w="1921"/>
        <w:gridCol w:w="6"/>
        <w:gridCol w:w="1265"/>
        <w:gridCol w:w="1881"/>
      </w:tblGrid>
      <w:tr>
        <w:tblPrEx>
          <w:tblCellMar>
            <w:top w:w="15" w:type="dxa"/>
            <w:left w:w="15" w:type="dxa"/>
            <w:bottom w:w="15" w:type="dxa"/>
            <w:right w:w="15"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第二十条第（一）项</w:t>
            </w:r>
          </w:p>
        </w:tc>
      </w:tr>
      <w:tr>
        <w:tblPrEx>
          <w:tblCellMar>
            <w:top w:w="15" w:type="dxa"/>
            <w:left w:w="15" w:type="dxa"/>
            <w:bottom w:w="15" w:type="dxa"/>
            <w:right w:w="15" w:type="dxa"/>
          </w:tblCellMar>
        </w:tblPrEx>
        <w:trPr>
          <w:trHeight w:val="882" w:hRule="atLeast"/>
          <w:jc w:val="center"/>
        </w:trPr>
        <w:tc>
          <w:tcPr>
            <w:tcW w:w="3067"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信息内容</w:t>
            </w:r>
          </w:p>
        </w:tc>
        <w:tc>
          <w:tcPr>
            <w:tcW w:w="1921" w:type="dxa"/>
            <w:tcBorders>
              <w:top w:val="single" w:color="auto" w:sz="8"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本年新</w:t>
            </w:r>
            <w:r>
              <w:rPr>
                <w:rFonts w:hint="eastAsia" w:ascii="宋体" w:hAnsi="宋体" w:cs="宋体"/>
                <w:color w:val="000000"/>
                <w:kern w:val="0"/>
                <w:sz w:val="20"/>
                <w:szCs w:val="20"/>
                <w:lang w:bidi="ar"/>
              </w:rPr>
              <w:br w:type="textWrapping"/>
            </w:r>
            <w:r>
              <w:rPr>
                <w:color w:val="000000"/>
                <w:kern w:val="0"/>
                <w:sz w:val="20"/>
                <w:szCs w:val="20"/>
                <w:lang w:bidi="ar"/>
              </w:rPr>
              <w:t>制作数量</w:t>
            </w:r>
          </w:p>
        </w:tc>
        <w:tc>
          <w:tcPr>
            <w:tcW w:w="1271" w:type="dxa"/>
            <w:gridSpan w:val="2"/>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本年新</w:t>
            </w:r>
            <w:r>
              <w:rPr>
                <w:rFonts w:hint="eastAsia" w:ascii="宋体" w:hAnsi="宋体" w:cs="宋体"/>
                <w:color w:val="000000"/>
                <w:kern w:val="0"/>
                <w:sz w:val="20"/>
                <w:szCs w:val="20"/>
                <w:lang w:bidi="ar"/>
              </w:rPr>
              <w:br w:type="textWrapping"/>
            </w:r>
            <w:r>
              <w:rPr>
                <w:color w:val="000000"/>
                <w:kern w:val="0"/>
                <w:sz w:val="20"/>
                <w:szCs w:val="20"/>
                <w:lang w:bidi="ar"/>
              </w:rPr>
              <w:t>公开数量</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对外公开总数量</w:t>
            </w:r>
          </w:p>
        </w:tc>
      </w:tr>
      <w:tr>
        <w:tblPrEx>
          <w:tblCellMar>
            <w:top w:w="15" w:type="dxa"/>
            <w:left w:w="15" w:type="dxa"/>
            <w:bottom w:w="15" w:type="dxa"/>
            <w:right w:w="15" w:type="dxa"/>
          </w:tblCellMar>
        </w:tblPrEx>
        <w:trPr>
          <w:trHeight w:val="523" w:hRule="atLeast"/>
          <w:jc w:val="center"/>
        </w:trPr>
        <w:tc>
          <w:tcPr>
            <w:tcW w:w="3067"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lang w:bidi="ar"/>
              </w:rPr>
              <w:t>规章</w:t>
            </w:r>
          </w:p>
        </w:tc>
        <w:tc>
          <w:tcPr>
            <w:tcW w:w="192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hint="eastAsia" w:eastAsia="宋体"/>
                <w:color w:val="000000"/>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1271" w:type="dxa"/>
            <w:gridSpan w:val="2"/>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rFonts w:hint="eastAsia" w:eastAsia="宋体"/>
                <w:color w:val="000000"/>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hint="eastAsia" w:eastAsia="宋体"/>
                <w:color w:val="000000"/>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r>
      <w:tr>
        <w:tblPrEx>
          <w:tblCellMar>
            <w:top w:w="15" w:type="dxa"/>
            <w:left w:w="15" w:type="dxa"/>
            <w:bottom w:w="15" w:type="dxa"/>
            <w:right w:w="15" w:type="dxa"/>
          </w:tblCellMar>
        </w:tblPrEx>
        <w:trPr>
          <w:trHeight w:val="471" w:hRule="atLeast"/>
          <w:jc w:val="center"/>
        </w:trPr>
        <w:tc>
          <w:tcPr>
            <w:tcW w:w="3067"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lang w:bidi="ar"/>
              </w:rPr>
              <w:t>规范性文件</w:t>
            </w:r>
          </w:p>
        </w:tc>
        <w:tc>
          <w:tcPr>
            <w:tcW w:w="192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hint="eastAsia" w:eastAsia="宋体"/>
                <w:color w:val="000000"/>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1271" w:type="dxa"/>
            <w:gridSpan w:val="2"/>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rFonts w:hint="eastAsia" w:eastAsia="宋体"/>
                <w:color w:val="000000"/>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hint="eastAsia" w:eastAsia="宋体"/>
                <w:color w:val="000000"/>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r>
      <w:tr>
        <w:tblPrEx>
          <w:tblCellMar>
            <w:top w:w="15" w:type="dxa"/>
            <w:left w:w="15" w:type="dxa"/>
            <w:bottom w:w="15" w:type="dxa"/>
            <w:right w:w="15"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第二十条第（五）项</w:t>
            </w:r>
          </w:p>
        </w:tc>
      </w:tr>
      <w:tr>
        <w:tblPrEx>
          <w:tblCellMar>
            <w:top w:w="15" w:type="dxa"/>
            <w:left w:w="15" w:type="dxa"/>
            <w:bottom w:w="15" w:type="dxa"/>
            <w:right w:w="15" w:type="dxa"/>
          </w:tblCellMar>
        </w:tblPrEx>
        <w:trPr>
          <w:trHeight w:val="634" w:hRule="atLeast"/>
          <w:jc w:val="center"/>
        </w:trPr>
        <w:tc>
          <w:tcPr>
            <w:tcW w:w="3067"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信息内容</w:t>
            </w:r>
          </w:p>
        </w:tc>
        <w:tc>
          <w:tcPr>
            <w:tcW w:w="1921" w:type="dxa"/>
            <w:tcBorders>
              <w:top w:val="single" w:color="auto" w:sz="8"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本年增/减</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处理决定数量</w:t>
            </w:r>
          </w:p>
        </w:tc>
      </w:tr>
      <w:tr>
        <w:tblPrEx>
          <w:tblCellMar>
            <w:top w:w="15" w:type="dxa"/>
            <w:left w:w="15" w:type="dxa"/>
            <w:bottom w:w="15" w:type="dxa"/>
            <w:right w:w="15" w:type="dxa"/>
          </w:tblCellMar>
        </w:tblPrEx>
        <w:trPr>
          <w:trHeight w:val="528" w:hRule="atLeast"/>
          <w:jc w:val="center"/>
        </w:trPr>
        <w:tc>
          <w:tcPr>
            <w:tcW w:w="3067"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lang w:bidi="ar"/>
              </w:rPr>
              <w:t>行政许可</w:t>
            </w:r>
          </w:p>
        </w:tc>
        <w:tc>
          <w:tcPr>
            <w:tcW w:w="1927"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hint="eastAsia" w:eastAsia="宋体"/>
                <w:color w:val="000000"/>
                <w:lang w:val="en-US" w:eastAsia="zh-CN"/>
              </w:rPr>
            </w:pPr>
            <w:r>
              <w:rPr>
                <w:rFonts w:hint="eastAsia" w:ascii="宋体" w:hAnsi="宋体" w:eastAsia="宋体" w:cs="宋体"/>
                <w:color w:val="000000"/>
                <w:kern w:val="0"/>
                <w:sz w:val="20"/>
                <w:szCs w:val="20"/>
                <w:lang w:val="en-US" w:eastAsia="zh-CN" w:bidi="ar"/>
              </w:rPr>
              <w:t>7</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hint="default" w:eastAsia="宋体"/>
                <w:color w:val="000000"/>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hint="eastAsia" w:eastAsia="宋体"/>
                <w:color w:val="000000"/>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7</w:t>
            </w:r>
          </w:p>
        </w:tc>
      </w:tr>
      <w:tr>
        <w:tblPrEx>
          <w:tblCellMar>
            <w:top w:w="15" w:type="dxa"/>
            <w:left w:w="15" w:type="dxa"/>
            <w:bottom w:w="15" w:type="dxa"/>
            <w:right w:w="15" w:type="dxa"/>
          </w:tblCellMar>
        </w:tblPrEx>
        <w:trPr>
          <w:trHeight w:val="550" w:hRule="atLeast"/>
          <w:jc w:val="center"/>
        </w:trPr>
        <w:tc>
          <w:tcPr>
            <w:tcW w:w="3067"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lang w:bidi="ar"/>
              </w:rPr>
              <w:t>其他对外管理服务事项</w:t>
            </w:r>
          </w:p>
        </w:tc>
        <w:tc>
          <w:tcPr>
            <w:tcW w:w="1927"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hint="eastAsia" w:eastAsia="宋体"/>
                <w:color w:val="000000"/>
                <w:lang w:val="en-US" w:eastAsia="zh-CN"/>
              </w:rPr>
            </w:pPr>
            <w:r>
              <w:rPr>
                <w:rFonts w:hint="eastAsia" w:ascii="宋体" w:hAnsi="宋体" w:cs="宋体"/>
                <w:color w:val="000000"/>
                <w:kern w:val="0"/>
                <w:sz w:val="20"/>
                <w:szCs w:val="20"/>
                <w:lang w:val="en-US" w:eastAsia="zh-CN" w:bidi="ar"/>
              </w:rPr>
              <w:t>0</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hint="eastAsia" w:eastAsia="宋体"/>
                <w:color w:val="000000"/>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hint="eastAsia" w:eastAsia="宋体"/>
                <w:color w:val="000000"/>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r>
      <w:tr>
        <w:tblPrEx>
          <w:tblCellMar>
            <w:top w:w="15" w:type="dxa"/>
            <w:left w:w="15" w:type="dxa"/>
            <w:bottom w:w="15" w:type="dxa"/>
            <w:right w:w="15"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第二十条第（六）项</w:t>
            </w:r>
          </w:p>
        </w:tc>
      </w:tr>
      <w:tr>
        <w:tblPrEx>
          <w:tblCellMar>
            <w:top w:w="15" w:type="dxa"/>
            <w:left w:w="15" w:type="dxa"/>
            <w:bottom w:w="15" w:type="dxa"/>
            <w:right w:w="15" w:type="dxa"/>
          </w:tblCellMar>
        </w:tblPrEx>
        <w:trPr>
          <w:trHeight w:val="634" w:hRule="atLeast"/>
          <w:jc w:val="center"/>
        </w:trPr>
        <w:tc>
          <w:tcPr>
            <w:tcW w:w="3067"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color w:val="000000"/>
              </w:rPr>
            </w:pPr>
            <w:bookmarkStart w:id="0" w:name="_GoBack"/>
            <w:r>
              <w:rPr>
                <w:rFonts w:hint="eastAsia" w:ascii="宋体" w:hAnsi="宋体" w:cs="宋体"/>
                <w:color w:val="000000"/>
                <w:kern w:val="0"/>
                <w:sz w:val="20"/>
                <w:szCs w:val="20"/>
                <w:lang w:bidi="ar"/>
              </w:rPr>
              <w:t>信息内容</w:t>
            </w:r>
          </w:p>
        </w:tc>
        <w:tc>
          <w:tcPr>
            <w:tcW w:w="1921" w:type="dxa"/>
            <w:tcBorders>
              <w:top w:val="single" w:color="auto" w:sz="8"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本年增/减</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处理决定数量</w:t>
            </w:r>
          </w:p>
        </w:tc>
      </w:tr>
      <w:bookmarkEnd w:id="0"/>
      <w:tr>
        <w:tblPrEx>
          <w:tblCellMar>
            <w:top w:w="15" w:type="dxa"/>
            <w:left w:w="15" w:type="dxa"/>
            <w:bottom w:w="15" w:type="dxa"/>
            <w:right w:w="15" w:type="dxa"/>
          </w:tblCellMar>
        </w:tblPrEx>
        <w:trPr>
          <w:trHeight w:val="430" w:hRule="atLeast"/>
          <w:jc w:val="center"/>
        </w:trPr>
        <w:tc>
          <w:tcPr>
            <w:tcW w:w="3067"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lang w:bidi="ar"/>
              </w:rPr>
              <w:t>行政处罚</w:t>
            </w:r>
          </w:p>
        </w:tc>
        <w:tc>
          <w:tcPr>
            <w:tcW w:w="1927"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hint="default" w:eastAsia="宋体"/>
                <w:color w:val="000000"/>
                <w:lang w:val="en-US" w:eastAsia="zh-CN"/>
              </w:rPr>
            </w:pPr>
            <w:r>
              <w:rPr>
                <w:rFonts w:hint="eastAsia" w:ascii="宋体" w:hAnsi="宋体" w:cs="宋体"/>
                <w:color w:val="000000"/>
                <w:kern w:val="0"/>
                <w:sz w:val="20"/>
                <w:szCs w:val="20"/>
                <w:lang w:val="en-US" w:eastAsia="zh-CN" w:bidi="ar"/>
              </w:rPr>
              <w:t>42</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hint="default" w:eastAsia="宋体"/>
                <w:color w:val="000000"/>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eastAsia="zh-CN" w:bidi="ar"/>
              </w:rPr>
              <w:t>增</w:t>
            </w:r>
            <w:r>
              <w:rPr>
                <w:rFonts w:hint="eastAsia" w:ascii="宋体" w:hAnsi="宋体" w:cs="宋体"/>
                <w:color w:val="000000"/>
                <w:kern w:val="0"/>
                <w:sz w:val="20"/>
                <w:szCs w:val="20"/>
                <w:lang w:val="en-US" w:eastAsia="zh-CN" w:bidi="ar"/>
              </w:rPr>
              <w:t>2</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hint="default" w:eastAsia="宋体"/>
                <w:color w:val="000000"/>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44</w:t>
            </w:r>
          </w:p>
        </w:tc>
      </w:tr>
      <w:tr>
        <w:tblPrEx>
          <w:tblCellMar>
            <w:top w:w="15" w:type="dxa"/>
            <w:left w:w="15" w:type="dxa"/>
            <w:bottom w:w="15" w:type="dxa"/>
            <w:right w:w="15" w:type="dxa"/>
          </w:tblCellMar>
        </w:tblPrEx>
        <w:trPr>
          <w:trHeight w:val="409" w:hRule="atLeast"/>
          <w:jc w:val="center"/>
        </w:trPr>
        <w:tc>
          <w:tcPr>
            <w:tcW w:w="3067"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lang w:bidi="ar"/>
              </w:rPr>
              <w:t>行政强制</w:t>
            </w:r>
          </w:p>
        </w:tc>
        <w:tc>
          <w:tcPr>
            <w:tcW w:w="1927"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hint="eastAsia" w:eastAsia="宋体"/>
                <w:color w:val="000000"/>
                <w:lang w:val="en-US" w:eastAsia="zh-CN"/>
              </w:rPr>
            </w:pPr>
            <w:r>
              <w:rPr>
                <w:rFonts w:hint="eastAsia" w:ascii="宋体" w:hAnsi="宋体" w:eastAsia="宋体" w:cs="宋体"/>
                <w:color w:val="000000"/>
                <w:kern w:val="0"/>
                <w:sz w:val="20"/>
                <w:szCs w:val="20"/>
                <w:lang w:val="en-US" w:eastAsia="zh-CN" w:bidi="ar"/>
              </w:rPr>
              <w:t>0</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hint="eastAsia" w:eastAsia="宋体"/>
                <w:color w:val="000000"/>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hint="eastAsia" w:eastAsia="宋体"/>
                <w:color w:val="000000"/>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r>
      <w:tr>
        <w:tblPrEx>
          <w:tblCellMar>
            <w:top w:w="15" w:type="dxa"/>
            <w:left w:w="15" w:type="dxa"/>
            <w:bottom w:w="15" w:type="dxa"/>
            <w:right w:w="15"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第二十条第（八）项</w:t>
            </w:r>
          </w:p>
        </w:tc>
      </w:tr>
      <w:tr>
        <w:tblPrEx>
          <w:tblCellMar>
            <w:top w:w="15" w:type="dxa"/>
            <w:left w:w="15" w:type="dxa"/>
            <w:bottom w:w="15" w:type="dxa"/>
            <w:right w:w="15" w:type="dxa"/>
          </w:tblCellMar>
        </w:tblPrEx>
        <w:trPr>
          <w:trHeight w:val="270" w:hRule="atLeast"/>
          <w:jc w:val="center"/>
        </w:trPr>
        <w:tc>
          <w:tcPr>
            <w:tcW w:w="3067"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信息内容</w:t>
            </w:r>
          </w:p>
        </w:tc>
        <w:tc>
          <w:tcPr>
            <w:tcW w:w="1927"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lang w:bidi="ar"/>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本年增/减</w:t>
            </w:r>
          </w:p>
        </w:tc>
      </w:tr>
      <w:tr>
        <w:tblPrEx>
          <w:tblCellMar>
            <w:top w:w="15" w:type="dxa"/>
            <w:left w:w="15" w:type="dxa"/>
            <w:bottom w:w="15" w:type="dxa"/>
            <w:right w:w="15" w:type="dxa"/>
          </w:tblCellMar>
        </w:tblPrEx>
        <w:trPr>
          <w:trHeight w:val="551" w:hRule="atLeast"/>
          <w:jc w:val="center"/>
        </w:trPr>
        <w:tc>
          <w:tcPr>
            <w:tcW w:w="3067"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lang w:bidi="ar"/>
              </w:rPr>
              <w:t>行政事业性收费</w:t>
            </w:r>
          </w:p>
        </w:tc>
        <w:tc>
          <w:tcPr>
            <w:tcW w:w="1927"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hint="eastAsia" w:eastAsia="宋体"/>
                <w:color w:val="000000"/>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3146" w:type="dxa"/>
            <w:gridSpan w:val="2"/>
            <w:tcBorders>
              <w:top w:val="nil"/>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widowControl/>
              <w:jc w:val="center"/>
              <w:rPr>
                <w:rFonts w:hint="eastAsia" w:eastAsia="宋体"/>
                <w:color w:val="000000"/>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r>
      <w:tr>
        <w:tblPrEx>
          <w:tblCellMar>
            <w:top w:w="15" w:type="dxa"/>
            <w:left w:w="15" w:type="dxa"/>
            <w:bottom w:w="15" w:type="dxa"/>
            <w:right w:w="15"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第二十条第（九）项</w:t>
            </w:r>
          </w:p>
        </w:tc>
      </w:tr>
      <w:tr>
        <w:tblPrEx>
          <w:tblCellMar>
            <w:top w:w="15" w:type="dxa"/>
            <w:left w:w="15" w:type="dxa"/>
            <w:bottom w:w="15" w:type="dxa"/>
            <w:right w:w="15" w:type="dxa"/>
          </w:tblCellMar>
        </w:tblPrEx>
        <w:trPr>
          <w:trHeight w:val="585" w:hRule="atLeast"/>
          <w:jc w:val="center"/>
        </w:trPr>
        <w:tc>
          <w:tcPr>
            <w:tcW w:w="3067"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信息内容</w:t>
            </w:r>
          </w:p>
        </w:tc>
        <w:tc>
          <w:tcPr>
            <w:tcW w:w="1927"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采购项目数量</w:t>
            </w:r>
          </w:p>
        </w:tc>
        <w:tc>
          <w:tcPr>
            <w:tcW w:w="3146" w:type="dxa"/>
            <w:gridSpan w:val="2"/>
            <w:tcBorders>
              <w:top w:val="single" w:color="auto" w:sz="8" w:space="0"/>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采购总金额</w:t>
            </w:r>
          </w:p>
        </w:tc>
      </w:tr>
      <w:tr>
        <w:tblPrEx>
          <w:tblCellMar>
            <w:top w:w="15" w:type="dxa"/>
            <w:left w:w="15" w:type="dxa"/>
            <w:bottom w:w="15" w:type="dxa"/>
            <w:right w:w="15" w:type="dxa"/>
          </w:tblCellMar>
        </w:tblPrEx>
        <w:trPr>
          <w:trHeight w:val="539" w:hRule="atLeast"/>
          <w:jc w:val="center"/>
        </w:trPr>
        <w:tc>
          <w:tcPr>
            <w:tcW w:w="3067"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lang w:bidi="ar"/>
              </w:rPr>
              <w:t>政府集中采购</w:t>
            </w:r>
          </w:p>
        </w:tc>
        <w:tc>
          <w:tcPr>
            <w:tcW w:w="1927"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hint="eastAsia" w:eastAsia="宋体"/>
                <w:color w:val="000000"/>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3146" w:type="dxa"/>
            <w:gridSpan w:val="2"/>
            <w:tcBorders>
              <w:top w:val="nil"/>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ind w:firstLine="1440" w:firstLineChars="600"/>
              <w:rPr>
                <w:rFonts w:hint="eastAsia" w:ascii="宋体" w:eastAsia="宋体"/>
                <w:color w:val="000000"/>
                <w:sz w:val="24"/>
                <w:lang w:val="en-US" w:eastAsia="zh-CN"/>
              </w:rPr>
            </w:pPr>
            <w:r>
              <w:rPr>
                <w:rFonts w:hint="eastAsia" w:ascii="宋体"/>
                <w:color w:val="000000"/>
                <w:sz w:val="24"/>
                <w:lang w:val="en-US" w:eastAsia="zh-CN"/>
              </w:rPr>
              <w:t>0</w:t>
            </w:r>
          </w:p>
        </w:tc>
      </w:tr>
    </w:tbl>
    <w:p>
      <w:pPr>
        <w:numPr>
          <w:ilvl w:val="0"/>
          <w:numId w:val="0"/>
        </w:numPr>
        <w:rPr>
          <w:rFonts w:hint="eastAsia" w:ascii="仿宋" w:hAnsi="仿宋" w:eastAsia="仿宋" w:cs="仿宋"/>
          <w:b/>
          <w:bCs/>
          <w:i w:val="0"/>
          <w:caps w:val="0"/>
          <w:color w:val="000000"/>
          <w:spacing w:val="0"/>
          <w:kern w:val="0"/>
          <w:sz w:val="32"/>
          <w:szCs w:val="32"/>
          <w:shd w:val="clear" w:fill="FFFFFF"/>
          <w:lang w:val="en-US" w:eastAsia="zh-CN" w:bidi="ar"/>
        </w:rPr>
      </w:pPr>
    </w:p>
    <w:p>
      <w:pPr>
        <w:numPr>
          <w:ilvl w:val="0"/>
          <w:numId w:val="0"/>
        </w:numPr>
        <w:ind w:firstLine="643" w:firstLineChars="200"/>
        <w:rPr>
          <w:rFonts w:hint="eastAsia" w:ascii="仿宋" w:hAnsi="仿宋" w:eastAsia="仿宋" w:cs="仿宋"/>
          <w:b/>
          <w:bCs/>
          <w:i w:val="0"/>
          <w:caps w:val="0"/>
          <w:color w:val="000000"/>
          <w:spacing w:val="0"/>
          <w:kern w:val="0"/>
          <w:sz w:val="32"/>
          <w:szCs w:val="32"/>
          <w:shd w:val="clear" w:fill="FFFFFF"/>
          <w:lang w:val="en-US" w:eastAsia="zh-CN" w:bidi="ar"/>
        </w:rPr>
      </w:pPr>
      <w:r>
        <w:rPr>
          <w:rFonts w:hint="eastAsia" w:ascii="仿宋" w:hAnsi="仿宋" w:eastAsia="仿宋" w:cs="仿宋"/>
          <w:b/>
          <w:bCs/>
          <w:i w:val="0"/>
          <w:caps w:val="0"/>
          <w:color w:val="000000"/>
          <w:spacing w:val="0"/>
          <w:kern w:val="0"/>
          <w:sz w:val="32"/>
          <w:szCs w:val="32"/>
          <w:shd w:val="clear" w:fill="FFFFFF"/>
          <w:lang w:val="en-US" w:eastAsia="zh-CN" w:bidi="ar"/>
        </w:rPr>
        <w:t>三、收到和处理政府信息公开申请情况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825" w:type="dxa"/>
            <w:vMerge w:val="restart"/>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自然人</w:t>
            </w:r>
          </w:p>
        </w:tc>
        <w:tc>
          <w:tcPr>
            <w:tcW w:w="4065" w:type="dxa"/>
            <w:gridSpan w:val="5"/>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法人或其他组织</w:t>
            </w:r>
          </w:p>
        </w:tc>
        <w:tc>
          <w:tcPr>
            <w:tcW w:w="702" w:type="dxa"/>
            <w:vMerge w:val="restart"/>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825" w:type="dxa"/>
            <w:vMerge w:val="continue"/>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商业企业</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科研机构</w:t>
            </w:r>
          </w:p>
        </w:tc>
        <w:tc>
          <w:tcPr>
            <w:tcW w:w="825"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社会公益组织</w:t>
            </w:r>
          </w:p>
        </w:tc>
        <w:tc>
          <w:tcPr>
            <w:tcW w:w="990"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法律服务机构</w:t>
            </w:r>
          </w:p>
        </w:tc>
        <w:tc>
          <w:tcPr>
            <w:tcW w:w="720"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其他</w:t>
            </w:r>
          </w:p>
        </w:tc>
        <w:tc>
          <w:tcPr>
            <w:tcW w:w="702" w:type="dxa"/>
            <w:vMerge w:val="continue"/>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lang w:bidi="ar"/>
              </w:rPr>
              <w:t>一、本年新收政府信息公开申请数量</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hint="eastAsia" w:eastAsia="宋体"/>
                <w:color w:val="000000"/>
                <w:lang w:val="en-US" w:eastAsia="zh-CN"/>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hint="eastAsia" w:eastAsia="宋体"/>
                <w:color w:val="000000"/>
                <w:lang w:val="en-US" w:eastAsia="zh-CN"/>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hint="eastAsia" w:eastAsia="宋体"/>
                <w:color w:val="000000"/>
                <w:lang w:val="en-US" w:eastAsia="zh-CN"/>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2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0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lang w:bidi="ar"/>
              </w:rPr>
              <w:t>二、上年结转政府信息公开申请数量</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hint="eastAsia" w:eastAsia="宋体"/>
                <w:color w:val="000000"/>
                <w:lang w:val="en-US" w:eastAsia="zh-CN"/>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99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hint="eastAsia" w:eastAsia="宋体"/>
                <w:color w:val="000000"/>
                <w:lang w:val="en-US" w:eastAsia="zh-CN"/>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0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4" w:type="dxa"/>
            <w:vMerge w:val="restart"/>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三、本年度办理结果</w:t>
            </w:r>
          </w:p>
        </w:tc>
        <w:tc>
          <w:tcPr>
            <w:tcW w:w="2985" w:type="dxa"/>
            <w:gridSpan w:val="2"/>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lang w:bidi="ar"/>
              </w:rPr>
              <w:t>（一）予以公开</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99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02"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2985" w:type="dxa"/>
            <w:gridSpan w:val="2"/>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lang w:bidi="ar"/>
              </w:rPr>
              <w:t>（二）部分公开（区分处理的，只计这一情形，不计其他情形）</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99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0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855" w:type="dxa"/>
            <w:vMerge w:val="restart"/>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lang w:bidi="ar"/>
              </w:rPr>
              <w:t>（三）不予公开</w:t>
            </w:r>
          </w:p>
        </w:tc>
        <w:tc>
          <w:tcPr>
            <w:tcW w:w="213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lang w:bidi="ar"/>
              </w:rPr>
              <w:t>1.属于国家秘密</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99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02"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855" w:type="dxa"/>
            <w:vMerge w:val="continue"/>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213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lang w:bidi="ar"/>
              </w:rPr>
              <w:t>2.其他法律行政法规禁止公开</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99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0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855" w:type="dxa"/>
            <w:vMerge w:val="continue"/>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213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lang w:bidi="ar"/>
              </w:rPr>
              <w:t>3.危及“三安全一稳定”</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99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0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855" w:type="dxa"/>
            <w:vMerge w:val="continue"/>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213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lang w:bidi="ar"/>
              </w:rPr>
              <w:t>4.保护第三方合法权益</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99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0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855" w:type="dxa"/>
            <w:vMerge w:val="continue"/>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213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lang w:bidi="ar"/>
              </w:rPr>
              <w:t>5.属于三类内部事务信息</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99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0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855" w:type="dxa"/>
            <w:vMerge w:val="continue"/>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213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lang w:bidi="ar"/>
              </w:rPr>
              <w:t>6.属于四类过程性信息</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99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0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855" w:type="dxa"/>
            <w:vMerge w:val="continue"/>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213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lang w:bidi="ar"/>
              </w:rPr>
              <w:t>7.属于行政执法案卷</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99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0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855" w:type="dxa"/>
            <w:vMerge w:val="continue"/>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213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lang w:bidi="ar"/>
              </w:rPr>
              <w:t>8.属于行政查询事项</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99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0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855" w:type="dxa"/>
            <w:vMerge w:val="restart"/>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lang w:bidi="ar"/>
              </w:rPr>
              <w:t>（四）无法提供</w:t>
            </w:r>
          </w:p>
        </w:tc>
        <w:tc>
          <w:tcPr>
            <w:tcW w:w="213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lang w:bidi="ar"/>
              </w:rPr>
              <w:t>1.本机关不掌握相关政府信息</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99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0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855" w:type="dxa"/>
            <w:vMerge w:val="continue"/>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213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lang w:bidi="ar"/>
              </w:rPr>
              <w:t>2.没有现成信息需要另行制作</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99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0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855" w:type="dxa"/>
            <w:vMerge w:val="continue"/>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213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lang w:bidi="ar"/>
              </w:rPr>
              <w:t>3.补正后申请内容仍不明确</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99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0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855" w:type="dxa"/>
            <w:vMerge w:val="restart"/>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lang w:bidi="ar"/>
              </w:rPr>
              <w:t>（五）不予处理</w:t>
            </w:r>
          </w:p>
        </w:tc>
        <w:tc>
          <w:tcPr>
            <w:tcW w:w="213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lang w:bidi="ar"/>
              </w:rPr>
              <w:t>1.信访举报投诉类申请</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99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0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855" w:type="dxa"/>
            <w:vMerge w:val="continue"/>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213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lang w:bidi="ar"/>
              </w:rPr>
              <w:t>2.重复申请</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99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0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855" w:type="dxa"/>
            <w:vMerge w:val="continue"/>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213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lang w:bidi="ar"/>
              </w:rPr>
              <w:t>3.要求提供公开出版物</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99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0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855" w:type="dxa"/>
            <w:vMerge w:val="continue"/>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213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lang w:bidi="ar"/>
              </w:rPr>
              <w:t>4.无正当理由大量反复申请</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99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0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855" w:type="dxa"/>
            <w:vMerge w:val="continue"/>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213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lang w:bidi="ar"/>
              </w:rPr>
              <w:t>5.要求行政机关确认或重新出具已获取信息</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99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0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2985" w:type="dxa"/>
            <w:gridSpan w:val="2"/>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lang w:bidi="ar"/>
              </w:rPr>
              <w:t>（六）其他处理</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99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0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2985" w:type="dxa"/>
            <w:gridSpan w:val="2"/>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lang w:bidi="ar"/>
              </w:rPr>
              <w:t>（七）总计</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99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0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lang w:bidi="ar"/>
              </w:rPr>
              <w:t>四、结转下年度继续办理</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6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82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99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70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hint="eastAsia" w:ascii="宋体"/>
                <w:color w:val="000000"/>
                <w:sz w:val="24"/>
              </w:rPr>
            </w:pPr>
            <w:r>
              <w:rPr>
                <w:rFonts w:hint="eastAsia" w:cs="Calibri"/>
                <w:color w:val="000000"/>
                <w:kern w:val="0"/>
                <w:sz w:val="20"/>
                <w:szCs w:val="20"/>
                <w:lang w:val="en-US" w:eastAsia="zh-CN" w:bidi="ar"/>
              </w:rPr>
              <w:t>0</w:t>
            </w:r>
            <w:r>
              <w:rPr>
                <w:rFonts w:cs="Calibri"/>
                <w:color w:val="000000"/>
                <w:kern w:val="0"/>
                <w:sz w:val="20"/>
                <w:szCs w:val="20"/>
                <w:lang w:bidi="ar"/>
              </w:rPr>
              <w:t> </w:t>
            </w:r>
          </w:p>
        </w:tc>
      </w:tr>
    </w:tbl>
    <w:p>
      <w:pPr>
        <w:ind w:firstLine="321" w:firstLineChars="100"/>
        <w:rPr>
          <w:rFonts w:hint="eastAsia" w:ascii="仿宋" w:hAnsi="仿宋" w:eastAsia="仿宋" w:cs="仿宋"/>
          <w:b/>
          <w:bCs/>
          <w:i w:val="0"/>
          <w:caps w:val="0"/>
          <w:color w:val="000000"/>
          <w:spacing w:val="0"/>
          <w:kern w:val="0"/>
          <w:sz w:val="32"/>
          <w:szCs w:val="32"/>
          <w:shd w:val="clear" w:fill="FFFFFF"/>
          <w:lang w:val="en-US" w:eastAsia="zh-CN" w:bidi="ar"/>
        </w:rPr>
      </w:pPr>
      <w:r>
        <w:rPr>
          <w:rFonts w:hint="eastAsia" w:ascii="仿宋" w:hAnsi="仿宋" w:eastAsia="仿宋" w:cs="仿宋"/>
          <w:b/>
          <w:bCs/>
          <w:i w:val="0"/>
          <w:caps w:val="0"/>
          <w:color w:val="000000"/>
          <w:spacing w:val="0"/>
          <w:kern w:val="0"/>
          <w:sz w:val="32"/>
          <w:szCs w:val="32"/>
          <w:shd w:val="clear" w:fill="FFFFFF"/>
          <w:lang w:val="en-US" w:eastAsia="zh-CN" w:bidi="ar"/>
        </w:rPr>
        <w:t>四、因政府信息公开工作被申请行政复议、提起行政诉讼情况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结果维持</w:t>
            </w:r>
          </w:p>
        </w:tc>
        <w:tc>
          <w:tcPr>
            <w:tcW w:w="604" w:type="dxa"/>
            <w:vMerge w:val="restart"/>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总计</w:t>
            </w:r>
          </w:p>
        </w:tc>
        <w:tc>
          <w:tcPr>
            <w:tcW w:w="2970" w:type="dxa"/>
            <w:gridSpan w:val="5"/>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604" w:type="dxa"/>
            <w:vMerge w:val="continue"/>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604" w:type="dxa"/>
            <w:vMerge w:val="continue"/>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604" w:type="dxa"/>
            <w:vMerge w:val="continue"/>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658" w:type="dxa"/>
            <w:vMerge w:val="continue"/>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rPr>
            </w:pPr>
          </w:p>
        </w:tc>
        <w:tc>
          <w:tcPr>
            <w:tcW w:w="55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结果维持</w:t>
            </w:r>
          </w:p>
        </w:tc>
        <w:tc>
          <w:tcPr>
            <w:tcW w:w="60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结果纠正</w:t>
            </w:r>
          </w:p>
        </w:tc>
        <w:tc>
          <w:tcPr>
            <w:tcW w:w="605"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其他结果</w:t>
            </w:r>
          </w:p>
        </w:tc>
        <w:tc>
          <w:tcPr>
            <w:tcW w:w="605"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尚未审结</w:t>
            </w:r>
          </w:p>
        </w:tc>
        <w:tc>
          <w:tcPr>
            <w:tcW w:w="605"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总计</w:t>
            </w:r>
          </w:p>
        </w:tc>
        <w:tc>
          <w:tcPr>
            <w:tcW w:w="605"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结果维持</w:t>
            </w:r>
          </w:p>
        </w:tc>
        <w:tc>
          <w:tcPr>
            <w:tcW w:w="605"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结果纠正</w:t>
            </w:r>
          </w:p>
        </w:tc>
        <w:tc>
          <w:tcPr>
            <w:tcW w:w="605"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其他结果</w:t>
            </w:r>
          </w:p>
        </w:tc>
        <w:tc>
          <w:tcPr>
            <w:tcW w:w="606"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尚未审结</w:t>
            </w:r>
          </w:p>
        </w:tc>
        <w:tc>
          <w:tcPr>
            <w:tcW w:w="606"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60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60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658"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55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60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60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60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60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60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cs="Calibri"/>
                <w:color w:val="000000"/>
                <w:kern w:val="0"/>
                <w:sz w:val="20"/>
                <w:szCs w:val="20"/>
                <w:lang w:bidi="ar"/>
              </w:rPr>
              <w:t> </w:t>
            </w:r>
            <w:r>
              <w:rPr>
                <w:rFonts w:hint="eastAsia" w:cs="Calibri"/>
                <w:color w:val="000000"/>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606"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color w:val="000000"/>
              </w:rPr>
            </w:pPr>
            <w:r>
              <w:rPr>
                <w:rFonts w:hint="eastAsia" w:cs="Calibri"/>
                <w:color w:val="000000"/>
                <w:kern w:val="0"/>
                <w:sz w:val="20"/>
                <w:szCs w:val="20"/>
                <w:lang w:val="en-US" w:eastAsia="zh-CN" w:bidi="ar"/>
              </w:rPr>
              <w:t>0</w:t>
            </w:r>
            <w:r>
              <w:rPr>
                <w:rFonts w:cs="Calibri"/>
                <w:color w:val="000000"/>
                <w:kern w:val="0"/>
                <w:sz w:val="20"/>
                <w:szCs w:val="20"/>
                <w:lang w:bidi="ar"/>
              </w:rPr>
              <w:t> </w:t>
            </w:r>
          </w:p>
        </w:tc>
        <w:tc>
          <w:tcPr>
            <w:tcW w:w="606"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hint="eastAsia" w:ascii="宋体"/>
                <w:color w:val="000000"/>
                <w:sz w:val="24"/>
              </w:rPr>
            </w:pPr>
            <w:r>
              <w:rPr>
                <w:rFonts w:cs="Calibri"/>
                <w:color w:val="000000"/>
                <w:kern w:val="0"/>
                <w:sz w:val="20"/>
                <w:szCs w:val="20"/>
                <w:lang w:bidi="ar"/>
              </w:rPr>
              <w:t> </w:t>
            </w:r>
            <w:r>
              <w:rPr>
                <w:rFonts w:hint="eastAsia" w:cs="Calibri"/>
                <w:color w:val="000000"/>
                <w:kern w:val="0"/>
                <w:sz w:val="20"/>
                <w:szCs w:val="20"/>
                <w:lang w:val="en-US" w:eastAsia="zh-CN" w:bidi="ar"/>
              </w:rPr>
              <w:t>0</w:t>
            </w:r>
          </w:p>
        </w:tc>
      </w:tr>
    </w:tbl>
    <w:p>
      <w:pPr>
        <w:rPr>
          <w:rFonts w:hint="eastAsia" w:ascii="宋体" w:hAnsi="宋体" w:eastAsia="宋体" w:cs="宋体"/>
          <w:b w:val="0"/>
          <w:i w:val="0"/>
          <w:caps w:val="0"/>
          <w:color w:val="000000"/>
          <w:spacing w:val="0"/>
          <w:kern w:val="0"/>
          <w:sz w:val="28"/>
          <w:szCs w:val="28"/>
          <w:shd w:val="clear" w:fill="FFFFFF"/>
          <w:lang w:val="en-US" w:eastAsia="zh-CN" w:bidi="ar"/>
        </w:rPr>
      </w:pPr>
    </w:p>
    <w:p>
      <w:pPr>
        <w:numPr>
          <w:ilvl w:val="0"/>
          <w:numId w:val="0"/>
        </w:numPr>
        <w:ind w:firstLine="643" w:firstLineChars="200"/>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bCs/>
          <w:i w:val="0"/>
          <w:caps w:val="0"/>
          <w:color w:val="000000"/>
          <w:spacing w:val="0"/>
          <w:kern w:val="0"/>
          <w:sz w:val="32"/>
          <w:szCs w:val="32"/>
          <w:shd w:val="clear" w:fill="FFFFFF"/>
          <w:lang w:val="en-US" w:eastAsia="zh-CN" w:bidi="ar"/>
        </w:rPr>
        <w:t>五、政府信息公开工作存在的主要问题和改进措施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center"/>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　  2020年，我局政府信息公开工作虽然取得了一些成效，但应清醒地认识到，仍然存在一些问题：一是信息员业务素质不够高，对信息公开工作认识不足，政府信息公开的尺度难以把握；二是政府公开长效机制有待进一步完善，现有制度执行力度还有待加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center"/>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　　下一步，我局将继续严格按照信息公开的各项要求和目标，依托信息化平台，不断完善信息公开相关制度与日常维护。一是提高认识，加强培训。进一步加强对政府信息公开工作的宣传力度和组织有关工作人员进行专门培训，加深干部职工对信息公开工作的认识，学习借鉴其他部门的好做法，进一步提高政府信息公开工作水平；二是努力构建政府信息公开的长效机制，定期维护，确保政府信息公开工作能按照既定的工作流程有效运作。 </w:t>
      </w:r>
    </w:p>
    <w:p>
      <w:pPr>
        <w:ind w:firstLine="643" w:firstLineChars="200"/>
        <w:rPr>
          <w:rFonts w:hint="eastAsia" w:ascii="仿宋" w:hAnsi="仿宋" w:eastAsia="仿宋" w:cs="仿宋"/>
          <w:b/>
          <w:bCs/>
          <w:i w:val="0"/>
          <w:caps w:val="0"/>
          <w:color w:val="000000"/>
          <w:spacing w:val="0"/>
          <w:kern w:val="0"/>
          <w:sz w:val="32"/>
          <w:szCs w:val="32"/>
          <w:shd w:val="clear" w:fill="FFFFFF"/>
          <w:lang w:val="en-US" w:eastAsia="zh-CN" w:bidi="ar"/>
        </w:rPr>
      </w:pPr>
      <w:r>
        <w:rPr>
          <w:rFonts w:hint="eastAsia" w:ascii="仿宋" w:hAnsi="仿宋" w:eastAsia="仿宋" w:cs="仿宋"/>
          <w:b/>
          <w:bCs/>
          <w:i w:val="0"/>
          <w:caps w:val="0"/>
          <w:color w:val="000000"/>
          <w:spacing w:val="0"/>
          <w:kern w:val="0"/>
          <w:sz w:val="32"/>
          <w:szCs w:val="32"/>
          <w:shd w:val="clear" w:fill="FFFFFF"/>
          <w:lang w:val="en-US" w:eastAsia="zh-CN" w:bidi="ar"/>
        </w:rPr>
        <w:t>六、其它需要报告的情况</w:t>
      </w:r>
    </w:p>
    <w:p>
      <w:pPr>
        <w:ind w:firstLine="640" w:firstLineChars="200"/>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无。</w:t>
      </w:r>
    </w:p>
    <w:p>
      <w:pPr>
        <w:ind w:firstLine="640" w:firstLineChars="200"/>
        <w:rPr>
          <w:rFonts w:hint="eastAsia" w:ascii="仿宋" w:hAnsi="仿宋" w:eastAsia="仿宋" w:cs="仿宋"/>
          <w:b w:val="0"/>
          <w:i w:val="0"/>
          <w:caps w:val="0"/>
          <w:color w:val="000000"/>
          <w:spacing w:val="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7F552F"/>
    <w:multiLevelType w:val="singleLevel"/>
    <w:tmpl w:val="E97F55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23E5B"/>
    <w:rsid w:val="111A45EE"/>
    <w:rsid w:val="230876F0"/>
    <w:rsid w:val="28814A26"/>
    <w:rsid w:val="2C8947BA"/>
    <w:rsid w:val="304B34B6"/>
    <w:rsid w:val="36A143FF"/>
    <w:rsid w:val="47FB5FB4"/>
    <w:rsid w:val="55112099"/>
    <w:rsid w:val="56FF2CEC"/>
    <w:rsid w:val="5B6E7757"/>
    <w:rsid w:val="5E087519"/>
    <w:rsid w:val="5F8D7D68"/>
    <w:rsid w:val="68812FEA"/>
    <w:rsid w:val="70971454"/>
    <w:rsid w:val="745865B2"/>
    <w:rsid w:val="7FE45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苹果妹</cp:lastModifiedBy>
  <cp:lastPrinted>2021-02-05T01:49:04Z</cp:lastPrinted>
  <dcterms:modified xsi:type="dcterms:W3CDTF">2021-02-05T02:51:19Z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