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423"/>
          <w:tab w:val="left" w:pos="52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spacing w:val="-6"/>
          <w:w w:val="9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6"/>
          <w:w w:val="97"/>
          <w:kern w:val="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4"/>
          <w:szCs w:val="44"/>
          <w:lang w:val="en-US" w:eastAsia="zh-CN"/>
        </w:rPr>
        <w:t>凤凰县2023年1-10月财政预算执行情况和</w:t>
      </w:r>
      <w:r>
        <w:rPr>
          <w:rFonts w:hint="eastAsia" w:ascii="方正小标宋简体" w:hAnsi="宋体" w:eastAsia="方正小标宋简体" w:cs="宋体"/>
          <w:color w:val="000000"/>
          <w:spacing w:val="-6"/>
          <w:w w:val="97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宋体" w:eastAsia="方正小标宋简体" w:cs="宋体"/>
          <w:color w:val="000000"/>
          <w:spacing w:val="-6"/>
          <w:w w:val="97"/>
          <w:kern w:val="0"/>
          <w:sz w:val="44"/>
          <w:szCs w:val="44"/>
          <w:lang w:eastAsia="zh-CN"/>
        </w:rPr>
        <w:t>财政</w:t>
      </w:r>
      <w:r>
        <w:rPr>
          <w:rFonts w:hint="eastAsia" w:ascii="方正小标宋简体" w:hAnsi="宋体" w:eastAsia="方正小标宋简体" w:cs="宋体"/>
          <w:color w:val="000000"/>
          <w:spacing w:val="-6"/>
          <w:w w:val="97"/>
          <w:kern w:val="0"/>
          <w:sz w:val="44"/>
          <w:szCs w:val="44"/>
        </w:rPr>
        <w:t>预算调整方案（草案）的</w:t>
      </w:r>
    </w:p>
    <w:p>
      <w:pPr>
        <w:keepNext w:val="0"/>
        <w:keepLines w:val="0"/>
        <w:pageBreakBefore w:val="0"/>
        <w:widowControl/>
        <w:tabs>
          <w:tab w:val="left" w:pos="365"/>
          <w:tab w:val="center" w:pos="4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w w:val="97"/>
          <w:kern w:val="0"/>
          <w:sz w:val="44"/>
          <w:szCs w:val="44"/>
        </w:rPr>
        <w:t>报</w:t>
      </w:r>
      <w:r>
        <w:rPr>
          <w:rFonts w:hint="eastAsia" w:ascii="方正小标宋简体" w:hAnsi="宋体" w:eastAsia="方正小标宋简体" w:cs="宋体"/>
          <w:color w:val="000000"/>
          <w:w w:val="97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w w:val="97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县财政局局长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邱  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主任，各位副主任，各位委员：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受县人民政府委托，现将凤凰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县2023年1-10月财政预算执行情况和202</w:t>
      </w:r>
      <w:r>
        <w:rPr>
          <w:rFonts w:hint="eastAsia" w:eastAsia="仿宋_GB2312" w:cs="Times New Roman"/>
          <w:spacing w:val="-1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年财政预算调整方案（草案）的报告如下</w:t>
      </w:r>
      <w:r>
        <w:rPr>
          <w:rFonts w:hint="eastAsia" w:eastAsia="仿宋_GB2312" w:cs="Times New Roman"/>
          <w:spacing w:val="-11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请予审议。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一、1-10月财政预算执行情况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（一）一般公共预算执行情况。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收入方面：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1-10月，全县一般公共预算收入累计完成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70873万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元，完成年初预算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116848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60.65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增长20.44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%，剔除留抵退税减税降费5506万元后同比增长29.79%。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从部门来看，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税务部门累计完成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35462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万元，完成年初预算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75172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47.17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增长33.67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%；财政部门累计完成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35411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万元，完成年初预算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41676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84.97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%，同比增长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9.58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从收入级次来看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地方一般公共预算收入完成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59142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万元，同比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增加5392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增长10.03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税收收入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21453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万元，同比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增加2229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增长11.59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非税收入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37689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万元，同比增加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3163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万元，同比增长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9.16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%；上划中央收入完成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10909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万元，同比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增加2586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增长31.07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%；上划省级收入完成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1049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万元，同比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增加4282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万元；上划州级收入5万元，同比增长0%。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结构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来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全县税收收入完成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21453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万元，非税收入完成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37689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万元，非税收入占地方财政一般公共预算收入的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63.73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支出方面：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全县一般公共预算支出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257186万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元，同比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减少21578万元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下降7.74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%。其中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民生支出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190489万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元，同比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减少1831万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元，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下降0.95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%，占全县一般公共预算支出的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74.07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%，主要支出有一般公共服务、卫生健康、教育、社会保障和就业、农林水、乡村振兴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（二）政府性基金预算执行情况。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收入方面：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全县政府性基金预算收入累计完成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7099万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元，完成年初预算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128160万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5.54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%。主要是土地资源市场疲软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国有土地使用权出让收入减少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等因素的影响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支出方面：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1-10月，全县政府性基金预算支出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61243万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元，同比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减少9651万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下降13.61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%，完成年初预算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35.42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主要用于债务还本付息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土地成本、旅游基础设施及转型升级建设PPP项目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、政府购买服务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（三）社会保险基金预算执行情况。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收入方面：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1-10月，社会保险基金预算收入累计完成31523万元，完成年初预算41129万元的76.6%，其中：城乡居民养老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保险基金9509万元，机关事业单位基本养老保险基金22014万元。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支出方面：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1-10月，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社会保险基金预算支出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28658万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36207万元的79.1%，其中：城乡居民养老保险基金7333万元，机关事业单位基本养老保险基金21325万元。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（四）国有资本经营预算执行情况。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1-10月，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3042万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13643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政府性债务化解情况。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1-10月，化解政府性债务40303.16万元，其中：政府债券还本5.63万元、利息14806.08万元；隐性债务本金16775.5万元、利息8715.95万元。另外，通过采取借新还旧、展期等“六个一批”缓释隐性债务风险6750万元。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政府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新增债券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当前，我县收到省财政厅下达2023年新增债券51816万元，其中：一般债券8416万元、专项债券43400万元。根据《预算法》及其实施条例规定，科学制定了地方政府新增债券安排方案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（一）新增一般债券安排方案。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省财政厅下达地方政府新增一般债券8416万元，主要用于公路建设3277万元、医疗卫生1536万元、水利建设1410万元、保障性住房配套基础设施700万元、外贷转贷1493万元等。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（二）新增专项债券安排方案。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省财政厅下达我县地方政府新增专项债券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43400万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元，主要用于职业中专学校产教融合实训基地建设项目14000万元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、全民健身活动基地项目10500万元、第二水厂二期工程5500万元、城镇老旧小区改造及配套基础设施建设项目3500万元、城市停车场建设项目1100万元、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全域旅游公共服务平台建设项目2000万元、城乡垃圾收集转运设施建设项目1300万元等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建设项目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，暂未发行额度余额5500万元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项目支出调整情况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（一）一般公共预算支出项目调整情况。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初预算支出数总量不变，仅对年初预算安排的项目进行调增调减，调整项目为：一是调减财政机关事业单位基本养老保险发放缺口财政兜底补差783.7176万元，调减防空地下室易地建设费安排支出600万元。二是调增“中国•凤凰民俗摄影双年展”及苗族银饰文化节活动经费300万元、人大预算联网监督平台建设资金20万元、武警专项10万元、文旅局老放映员生活困难补助县级配套5.466万元、人力资源中心“三支一扶”人员补贴7.5062万元、组织部16.579万元（农民大学生财政补贴学费9.379万元、农村社区主职干部养老保险补贴经费3.2万元、大学生村主干人身意外保险4万元）、卫健局379.2964万元（2024年计划生育家庭基本医疗保险参保缴费368.03万元、农村部分计划生育家庭奖励扶助8.6264万元、严重精神障碍患者看护管理奖励2.64万元）、退役军人局34.57万元（退役士兵一次性经济补助14.57万元、优抚对象医疗20万元）、政府性融资担保体系担保费补贴10.3万元、公办幼儿园保育费安排支出600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（二）政府性基金预算支出项目调整情况。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年初预算支出数总量不变，仅对年初预算安排的项目进行调增调减，调整项目为：一是调减政府性基金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预算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支出项目金额25350万元，其中：政府性债务还本付息18000万元、凤凰旅游基础设施及转型升级建设PPP项目5000万元、各项奖励2000万元 、产业发展专项资金350万元。二是调增政府性基金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预算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支出项目金额25350万元，其中：土地成本25000万元、城区路灯电费140万元、乡镇生活垃圾临时收转运经费210万元。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（三）国有资本经营预算收支调整情况。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 国有资本经营预算收入调增2000万元。调整预算调增县辖16个乡镇自来水厂资产处置收入2000万元。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 国有资本经营预算支出总额调增2000万元，并对年初预算安排的项目进行调增调减，调整项目为：一是调减国有资本经营预算支出项目金额3042万元，其中：易地扶贫公司注册资本金1000万元、广源公司注册资本金850万元、中小微咨询公司注册资本金400万元、新区投公司注册资本金400万元、商厦国企改革成本支出342万元、国有资产突出问题清查经费50万元。二是调增国有资本经营预算支出项目金额5042万元，其中：华创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公司注册资本金2042万元、泓昌水利公司注册资本金1000万元、美丽乡村公司注册资本金1000万元、文瑞公司注册资本金1000万元。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四、财政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预算调整方案（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草案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　　（一）调整一般公共预算收支情况。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收入方面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年收入合计数调整为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473311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万元，比年初预算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464895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万元调增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8416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万元，全部为一般债券收入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支出方面，支出合计数调整为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473311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万元，调增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8416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万元，全部为一般债券支出。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1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（二）调整政府性基金预算收支情况。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收入方面，202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年收入合计数调整为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183980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万元，比年初预算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140580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万元调增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43400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万元，全部为专项债券收入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支出方面，支出合计数调整为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183980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万元，调增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43400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万元，全部为专项债券支出。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（三）国有资本经营预算收支情况。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收入方面，2023年收入合计数调整为22006万元，调增2000万元，全部为产权转让收入；支出方面，支出合计数调整为22006万元，调增2000万元，全部为国企资本金注入支出。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、下一步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在县委、县政府坚强领导和县人大监督指导下，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县财政部门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严格执行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人大批准的预算，积极组织财政收入，切实加快支出进度，全面加强资金监管，有效防范化解风险，大力提升资金绩效，全力服务打好发展“六仗”，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推动经济运行稳中有进，全力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实现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州对县考核目标任务。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（一）凝心聚力抓收入，做大做实地方财力。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加大上争资金力度。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进一步压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紧夯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实工作责任，形成齐抓共管共同组织收入的大格局，将更多项目纳入上级规划笼子，在上年度的基础上增长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%，力争实现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33.75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亿元。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二是抓实财税收入。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年初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收入目标任务，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税务部门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持续加强税收征管，稳住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建筑业、房地产业、金融业、旅游业、烟草和电力等支柱行业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税收基本盘等；发改部门积极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推进项目建设，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解决项目建设中的难点、堵点等问题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；各部门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加大招商引资力度，培植税源建设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财政部门加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大对非税征收力度，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充分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挖掘非税收入增长潜力，拓宽财政收入空间，降低非税占比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全面盘活国有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三资”。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重点对凤凰县行政事业单位及国企的流动资产、固定资产、在建工程、无形资产和对外投资等情况进行全面清查、盘活和处置，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全力完成土地出让、国有资产处置变现、土地增减挂钩指标交易、资源资产化等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争取实现收益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亿元以上。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是积极争取债券资金。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加大项目储备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，加快推进债券项目建设进度，尽快形成工程实物，及时完成报账，科学谋划202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年专项债券的申报工作，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力争更多的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专项债惠及凤凰经济社会发展。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树牢过“紧日子”思想，重点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保障</w:t>
      </w:r>
      <w:r>
        <w:rPr>
          <w:rFonts w:hint="eastAsia" w:eastAsia="楷体_GB2312" w:cs="Times New Roman"/>
          <w:b/>
          <w:bCs/>
          <w:sz w:val="32"/>
          <w:szCs w:val="32"/>
          <w:lang w:eastAsia="zh-CN"/>
        </w:rPr>
        <w:t>“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三保</w:t>
      </w:r>
      <w:r>
        <w:rPr>
          <w:rFonts w:hint="eastAsia" w:eastAsia="楷体_GB2312" w:cs="Times New Roman"/>
          <w:b/>
          <w:bCs/>
          <w:sz w:val="32"/>
          <w:szCs w:val="32"/>
          <w:lang w:eastAsia="zh-CN"/>
        </w:rPr>
        <w:t>”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支出。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坚持底线思维抓“三保”，不断优化支出结构，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全面统筹各项财力，兜牢兜实“三保”底线，切实保障基本民生、工资发放和机构运转，努力做到应保尽保。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加强财政管理，充分发挥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资金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效益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加强预算执行约束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强化库款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加快财政支出进度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预算绩效管理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，全面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提高绩效评价质量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，坚决落实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花钱必问效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、无效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问责”的权责机制，实现预算绩效管理的预算编制、执行、监督全方位衔接。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加强债务管理，有效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防范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化解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风险。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加大债务监管力度，坚持稳中求进工作总基调，统筹发展和安全，严格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“六个一批”化债措施，坚决遏制隐性债务增</w:t>
      </w:r>
      <w:r>
        <w:rPr>
          <w:rFonts w:ascii="Times New Roman" w:hAnsi="Times New Roman" w:eastAsia="仿宋_GB2312" w:cs="Times New Roman"/>
          <w:sz w:val="32"/>
          <w:szCs w:val="32"/>
        </w:rPr>
        <w:t>量，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统筹抓实债务风险化解工作，持续打好防范化解债务风险攻坚战，牢牢守住不发生系统性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债务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风险的底线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主任，各位副主任，各位委员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圆满完成今年预算任务，事关全县经济和社会发展的大局。对此，县财政部门将严格按照县委、县政府的工作部署，在县人大、县政协的监督支持下，坚定信心，攻坚克难，奋力拼搏，扎实工作，努力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完成全年财政目标任务</w:t>
      </w:r>
      <w:r>
        <w:rPr>
          <w:rFonts w:hint="eastAsia" w:ascii="仿宋_GB2312" w:hAnsi="仿宋_GB2312" w:eastAsia="仿宋_GB2312" w:cs="仿宋_GB2312"/>
          <w:sz w:val="32"/>
        </w:rPr>
        <w:t>，为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县域</w:t>
      </w:r>
      <w:r>
        <w:rPr>
          <w:rFonts w:hint="eastAsia" w:ascii="仿宋_GB2312" w:hAnsi="仿宋_GB2312" w:eastAsia="仿宋_GB2312" w:cs="仿宋_GB2312"/>
          <w:sz w:val="32"/>
        </w:rPr>
        <w:t>经济事业发展提供坚强的财力支撑。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以上调整方案（草案），请予审查。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1598" w:leftChars="304" w:right="0" w:hanging="960" w:hangingChars="3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附件：1.2023年地方政府新增债券安排方案　　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2023年调整预算专项支出表　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        3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2023年调整预算专项（列收列支非税收入）支出预算表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　　　  4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2023年地方政府性基金预算调整预算支出表　　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2023年国有资本经营预算调整预算收入表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    　  6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2023年国有资本经营预算调整预算支出表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　　　  7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2023年一般公共预算收入调整方案（草案） 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2023年一般公共预算支出调整方案（草案）　　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2023年一般公共预算本级支出调整方案（草案）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    　  10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2023年政府性基金预算收入调整方案（草案）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　　　  11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2023年政府性基金预算支出调整方案（草案） 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2023年政府性基金本级支出调整方案（草案）</w:t>
      </w:r>
    </w:p>
    <w:p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　　　　 13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2023年国有资本经营预算调整支出调整方案(草案) 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B9B79"/>
    <w:multiLevelType w:val="singleLevel"/>
    <w:tmpl w:val="E70B9B7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MTQxOGVjMjA2MDMyYjk2ZDFiNzg1Njk0MDM0ZTYifQ=="/>
  </w:docVars>
  <w:rsids>
    <w:rsidRoot w:val="00000000"/>
    <w:rsid w:val="14BE790E"/>
    <w:rsid w:val="19BF0B82"/>
    <w:rsid w:val="2AED28A3"/>
    <w:rsid w:val="2C8B2374"/>
    <w:rsid w:val="34352D49"/>
    <w:rsid w:val="3439519F"/>
    <w:rsid w:val="49166A3C"/>
    <w:rsid w:val="4C797DF2"/>
    <w:rsid w:val="574134AB"/>
    <w:rsid w:val="59C50DCB"/>
    <w:rsid w:val="5AE17DA6"/>
    <w:rsid w:val="621B317A"/>
    <w:rsid w:val="65292928"/>
    <w:rsid w:val="6CD504C6"/>
    <w:rsid w:val="734946AB"/>
    <w:rsid w:val="746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kern w:val="0"/>
      <w:sz w:val="21"/>
      <w:szCs w:val="21"/>
      <w:lang w:bidi="ar-SA"/>
    </w:rPr>
  </w:style>
  <w:style w:type="paragraph" w:styleId="3">
    <w:name w:val="index 7"/>
    <w:basedOn w:val="1"/>
    <w:next w:val="1"/>
    <w:qFormat/>
    <w:uiPriority w:val="0"/>
    <w:pPr>
      <w:overflowPunct w:val="0"/>
      <w:autoSpaceDE w:val="0"/>
      <w:autoSpaceDN w:val="0"/>
      <w:adjustRightInd w:val="0"/>
      <w:ind w:left="2520"/>
      <w:jc w:val="both"/>
      <w:textAlignment w:val="baseline"/>
    </w:pPr>
    <w:rPr>
      <w:rFonts w:ascii="Times New Roman" w:hAnsi="Times New Roman"/>
      <w:kern w:val="0"/>
      <w:sz w:val="21"/>
      <w:szCs w:val="21"/>
      <w:lang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2023-11-29T00:07:00Z</dcterms:created>
  <dc:creator>Administrator</dc:creator>
  <cp:lastModifiedBy>真诚待人田茂洋</cp:lastModifiedBy>
  <dcterms:modified xsi:type="dcterms:W3CDTF">2023-11-29T00:25:24Z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5AF17257E78643FD885EA4A598537097_12</vt:lpwstr>
  </property>
</Properties>
</file>