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FD" w:rsidRDefault="00DF160F" w:rsidP="00F456FD">
      <w:pPr>
        <w:adjustRightInd w:val="0"/>
        <w:spacing w:line="360" w:lineRule="auto"/>
        <w:jc w:val="left"/>
        <w:rPr>
          <w:rFonts w:ascii="宋体" w:eastAsia="宋体" w:hAnsi="宋体" w:cs="宋体"/>
          <w:bCs/>
          <w:color w:val="343434"/>
          <w:kern w:val="0"/>
          <w:sz w:val="24"/>
        </w:rPr>
      </w:pPr>
      <w:r w:rsidRPr="00DF160F">
        <w:rPr>
          <w:rFonts w:ascii="宋体" w:eastAsia="宋体" w:hAnsi="宋体" w:cs="宋体" w:hint="eastAsia"/>
          <w:bCs/>
          <w:color w:val="343434"/>
          <w:kern w:val="0"/>
          <w:sz w:val="24"/>
        </w:rPr>
        <w:t>附件1</w:t>
      </w:r>
    </w:p>
    <w:p w:rsidR="00954BE7" w:rsidRPr="00F456FD" w:rsidRDefault="00491D2E" w:rsidP="00F456FD">
      <w:pPr>
        <w:adjustRightInd w:val="0"/>
        <w:spacing w:line="360" w:lineRule="auto"/>
        <w:jc w:val="center"/>
        <w:rPr>
          <w:rFonts w:ascii="宋体" w:eastAsia="宋体" w:hAnsi="宋体" w:cs="宋体"/>
          <w:bCs/>
          <w:color w:val="343434"/>
          <w:kern w:val="0"/>
          <w:sz w:val="42"/>
          <w:szCs w:val="42"/>
        </w:rPr>
      </w:pPr>
      <w:r w:rsidRPr="00F456FD">
        <w:rPr>
          <w:rFonts w:ascii="宋体" w:eastAsia="宋体" w:hAnsi="宋体" w:cs="宋体" w:hint="eastAsia"/>
          <w:bCs/>
          <w:color w:val="343434"/>
          <w:kern w:val="0"/>
          <w:sz w:val="42"/>
          <w:szCs w:val="42"/>
        </w:rPr>
        <w:t>凤凰县农村环境治理项目绩效复核评价</w:t>
      </w:r>
      <w:r w:rsidR="00F456FD">
        <w:rPr>
          <w:rFonts w:ascii="宋体" w:eastAsia="宋体" w:hAnsi="宋体" w:cs="宋体" w:hint="eastAsia"/>
          <w:bCs/>
          <w:color w:val="343434"/>
          <w:kern w:val="0"/>
          <w:sz w:val="42"/>
          <w:szCs w:val="42"/>
        </w:rPr>
        <w:t>报告</w:t>
      </w:r>
    </w:p>
    <w:p w:rsidR="00954BE7" w:rsidRDefault="00491D2E">
      <w:pPr>
        <w:adjustRightInd w:val="0"/>
        <w:ind w:firstLineChars="200" w:firstLine="560"/>
        <w:jc w:val="left"/>
        <w:rPr>
          <w:rFonts w:ascii="宋体" w:eastAsia="宋体" w:hAnsi="宋体" w:cs="宋体"/>
          <w:b/>
          <w:color w:val="343434"/>
          <w:kern w:val="0"/>
          <w:sz w:val="28"/>
          <w:szCs w:val="28"/>
        </w:rPr>
      </w:pPr>
      <w:bookmarkStart w:id="0" w:name="_Toc22083"/>
      <w:bookmarkStart w:id="1" w:name="_Toc523298820"/>
      <w:r>
        <w:rPr>
          <w:rFonts w:asciiTheme="minorEastAsia" w:hAnsiTheme="minorEastAsia" w:cs="宋体" w:hint="eastAsia"/>
          <w:bCs/>
          <w:color w:val="343434"/>
          <w:kern w:val="0"/>
          <w:sz w:val="28"/>
          <w:szCs w:val="28"/>
        </w:rPr>
        <w:t>一</w:t>
      </w:r>
      <w:r>
        <w:rPr>
          <w:rFonts w:ascii="宋体" w:eastAsia="宋体" w:hAnsi="宋体" w:cs="宋体" w:hint="eastAsia"/>
          <w:b/>
          <w:color w:val="343434"/>
          <w:kern w:val="0"/>
          <w:sz w:val="28"/>
          <w:szCs w:val="28"/>
        </w:rPr>
        <w:t>、项目基本情况</w:t>
      </w:r>
    </w:p>
    <w:p w:rsidR="00954BE7" w:rsidRDefault="00491D2E">
      <w:pPr>
        <w:adjustRightInd w:val="0"/>
        <w:spacing w:line="360"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1、立项背景</w:t>
      </w:r>
    </w:p>
    <w:p w:rsidR="00954BE7" w:rsidRDefault="00491D2E">
      <w:pPr>
        <w:adjustRightInd w:val="0"/>
        <w:spacing w:line="360"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各级各相关部门要坚决贯彻落实习近平生态文明思想，进一步提高政治站位，凝聚思想共识，切实增强生态环境保护的思想行动自觉；要加强组织领导，强化责任担当，全面明确工作职责，压紧压实主体责任；要深刻汲取典型案例的惨痛教训，引以为戒，以更坚决的态度、更高的标准、更严的要求、更硬的措施、更快的速度、更合法合规合理的结果导向，全力以赴抓好问题整改；要举一反三，统筹抓好污水处理厂、黑臭水体、饮用水源保护、沱江两岸等领域突出生态环境问题整改，坚决防止问题反弹，确保全县生态环境质量持续改善。根据中共凤凰县委实施乡村振兴战略领导小组《关于下达2022年统筹整合财政涉农资金项目计划的通知(第一批)》(凤乡振领发〔2022〕1号)文件、《关于下达2022年统筹整合财政涉农资金项目计划的通知(第二批)》(凤乡振领发〔2022〕4号)文件、《关于下达 2022年统筹整合财政涉农资金项目计划的通知(第三批)》(凤乡振领发〔2022〕15号)文件精神，下达农村环境治理项目，由县住建局负责，县自然资源局、县环卫局等有关单位及各乡镇配合，进一步优化审批流程，全力以赴加快城乡生活垃圾收转运一体化项目建设，确保完成10座（1大9小）垃圾转运站建设，从根本上解决垃圾处理难题。</w:t>
      </w:r>
    </w:p>
    <w:p w:rsidR="00954BE7" w:rsidRDefault="00491D2E">
      <w:pPr>
        <w:adjustRightInd w:val="0"/>
        <w:spacing w:line="360"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2、项目概况</w:t>
      </w:r>
    </w:p>
    <w:p w:rsidR="00954BE7" w:rsidRDefault="00491D2E">
      <w:pPr>
        <w:adjustRightInd w:val="0"/>
        <w:spacing w:line="360" w:lineRule="auto"/>
        <w:ind w:firstLineChars="200" w:firstLine="560"/>
        <w:jc w:val="left"/>
        <w:rPr>
          <w:rFonts w:ascii="宋体" w:eastAsia="宋体" w:hAnsi="宋体" w:cs="宋体"/>
          <w:kern w:val="0"/>
          <w:sz w:val="28"/>
          <w:szCs w:val="28"/>
          <w:highlight w:val="yellow"/>
        </w:rPr>
      </w:pPr>
      <w:r>
        <w:rPr>
          <w:rFonts w:ascii="宋体" w:eastAsia="宋体" w:hAnsi="宋体" w:cs="宋体" w:hint="eastAsia"/>
          <w:bCs/>
          <w:color w:val="343434"/>
          <w:kern w:val="0"/>
          <w:sz w:val="28"/>
          <w:szCs w:val="28"/>
        </w:rPr>
        <w:lastRenderedPageBreak/>
        <w:t xml:space="preserve"> 凤凰县农村环境治理项目总投入1340.80万，根据《凤凰县统筹整合使用财政涉农资金管理办法（凤政办发〔2021〕15号）》、《凤凰县巩固脱贫攻坚成果痛相信振兴有效详解项目管理办法》（凤政办发〔2021〕16号）、《关于下达2022年统筹整合财政涉农资金项目计划的通知（第三批）》 （凤乡振领发〔2022〕15号）、凤财农函〔2022〕4号等文件精神，下达2022年凤凰县环境卫生管理局农村环境治理项目统筹整合专项资金405.00万</w:t>
      </w:r>
      <w:r>
        <w:rPr>
          <w:rFonts w:ascii="宋体" w:eastAsia="宋体" w:hAnsi="宋体" w:cs="宋体" w:hint="eastAsia"/>
          <w:bCs/>
          <w:kern w:val="0"/>
          <w:sz w:val="28"/>
          <w:szCs w:val="28"/>
        </w:rPr>
        <w:t>元，使用于项目总投入30%的预付款，</w:t>
      </w:r>
      <w:r>
        <w:rPr>
          <w:rFonts w:ascii="宋体" w:eastAsia="宋体" w:hAnsi="宋体" w:cs="宋体" w:hint="eastAsia"/>
          <w:kern w:val="0"/>
          <w:sz w:val="28"/>
          <w:szCs w:val="28"/>
        </w:rPr>
        <w:t>剩余70%尾款935.80万元，由湘财预【2022】61号2022年第二批地方政府新增专项债券安排支付。</w:t>
      </w:r>
      <w:bookmarkEnd w:id="0"/>
      <w:bookmarkEnd w:id="1"/>
      <w:r>
        <w:rPr>
          <w:rFonts w:asciiTheme="minorEastAsia" w:hAnsiTheme="minorEastAsia" w:cs="宋体" w:hint="eastAsia"/>
          <w:kern w:val="0"/>
          <w:sz w:val="28"/>
          <w:szCs w:val="28"/>
        </w:rPr>
        <w:t>项目于2021年6月23日公开招标，2021年7月19日发布凤财采计</w:t>
      </w:r>
      <w:r>
        <w:rPr>
          <w:rFonts w:ascii="宋体" w:eastAsia="宋体" w:hAnsi="宋体" w:cs="宋体" w:hint="eastAsia"/>
          <w:bCs/>
          <w:kern w:val="0"/>
          <w:sz w:val="28"/>
          <w:szCs w:val="28"/>
        </w:rPr>
        <w:t>〔2021〕1037号文件公告</w:t>
      </w:r>
      <w:r>
        <w:rPr>
          <w:rFonts w:asciiTheme="minorEastAsia" w:hAnsiTheme="minorEastAsia" w:cs="宋体" w:hint="eastAsia"/>
          <w:kern w:val="0"/>
          <w:sz w:val="28"/>
          <w:szCs w:val="28"/>
        </w:rPr>
        <w:t>，中标公司：长沙中联重科环境产业有限公司，中标金额1340.80万元，2021年8月16日签订合同，合同金额1340.80万元。项目名称农村环境治理，项目内容：</w:t>
      </w:r>
      <w:r>
        <w:rPr>
          <w:rFonts w:ascii="宋体" w:eastAsia="宋体" w:hAnsi="宋体" w:cs="宋体" w:hint="eastAsia"/>
          <w:bCs/>
          <w:kern w:val="0"/>
          <w:sz w:val="28"/>
          <w:szCs w:val="28"/>
        </w:rPr>
        <w:t>购买垃圾站配套设备，保障1大9小垃圾转运站配套设备安装和投入使用，促进全县17个乡镇垃圾收集转运，改善县41万人口的居住环境</w:t>
      </w:r>
      <w:r>
        <w:rPr>
          <w:rFonts w:ascii="宋体" w:eastAsia="宋体" w:hAnsi="宋体" w:cs="宋体" w:hint="eastAsia"/>
          <w:kern w:val="0"/>
          <w:sz w:val="28"/>
          <w:szCs w:val="28"/>
        </w:rPr>
        <w:t>。</w:t>
      </w:r>
      <w:r>
        <w:rPr>
          <w:rFonts w:asciiTheme="minorEastAsia" w:hAnsiTheme="minorEastAsia" w:cs="宋体" w:hint="eastAsia"/>
          <w:kern w:val="0"/>
          <w:sz w:val="28"/>
          <w:szCs w:val="28"/>
        </w:rPr>
        <w:t>项目建设地点：1个高峰大站位于沱江镇，9个小型垃圾转运站分别位于：阿拉营镇、腊尔山镇、吉信镇、木江坪镇、禾库、廖家桥镇、新场镇、千工坪镇、麻冲乡。项目建设工期为2022年4月至12月，项目在2022年12月31日前投入使用，改善全县人民群众的人居环境。</w:t>
      </w:r>
    </w:p>
    <w:p w:rsidR="00954BE7" w:rsidRDefault="00491D2E">
      <w:pPr>
        <w:numPr>
          <w:ilvl w:val="0"/>
          <w:numId w:val="2"/>
        </w:numPr>
        <w:adjustRightInd w:val="0"/>
        <w:spacing w:line="360" w:lineRule="auto"/>
        <w:ind w:firstLine="560"/>
        <w:jc w:val="left"/>
        <w:rPr>
          <w:rFonts w:ascii="宋体" w:eastAsia="宋体" w:hAnsi="宋体" w:cs="宋体"/>
          <w:b/>
          <w:kern w:val="0"/>
          <w:sz w:val="28"/>
          <w:szCs w:val="28"/>
        </w:rPr>
      </w:pPr>
      <w:r>
        <w:rPr>
          <w:rFonts w:ascii="宋体" w:eastAsia="宋体" w:hAnsi="宋体" w:cs="宋体" w:hint="eastAsia"/>
          <w:b/>
          <w:kern w:val="0"/>
          <w:sz w:val="28"/>
          <w:szCs w:val="28"/>
        </w:rPr>
        <w:t>资金使用情况</w:t>
      </w:r>
    </w:p>
    <w:p w:rsidR="00954BE7" w:rsidRDefault="00491D2E">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（一）项目资金安排落实情况</w:t>
      </w:r>
    </w:p>
    <w:p w:rsidR="00954BE7" w:rsidRDefault="00491D2E">
      <w:pPr>
        <w:adjustRightInd w:val="0"/>
        <w:spacing w:line="360" w:lineRule="auto"/>
        <w:ind w:firstLineChars="200" w:firstLine="560"/>
        <w:jc w:val="left"/>
        <w:rPr>
          <w:rFonts w:ascii="宋体" w:eastAsia="宋体" w:hAnsi="宋体" w:cs="宋体"/>
          <w:bCs/>
          <w:kern w:val="0"/>
          <w:sz w:val="28"/>
          <w:szCs w:val="28"/>
        </w:rPr>
      </w:pPr>
      <w:r>
        <w:rPr>
          <w:rFonts w:ascii="宋体" w:eastAsia="宋体" w:hAnsi="宋体" w:cs="宋体" w:hint="eastAsia"/>
          <w:bCs/>
          <w:color w:val="343434"/>
          <w:kern w:val="0"/>
          <w:sz w:val="28"/>
          <w:szCs w:val="28"/>
        </w:rPr>
        <w:t>根据《关于下达2022年统筹整合财政涉农资金项目计划的通知</w:t>
      </w:r>
      <w:r>
        <w:rPr>
          <w:rFonts w:ascii="宋体" w:eastAsia="宋体" w:hAnsi="宋体" w:cs="宋体" w:hint="eastAsia"/>
          <w:bCs/>
          <w:color w:val="343434"/>
          <w:kern w:val="0"/>
          <w:sz w:val="28"/>
          <w:szCs w:val="28"/>
        </w:rPr>
        <w:lastRenderedPageBreak/>
        <w:t>（第三批）》 （凤乡振领发</w:t>
      </w:r>
      <w:r>
        <w:rPr>
          <w:rFonts w:ascii="宋体" w:eastAsia="宋体" w:hAnsi="宋体" w:cs="宋体" w:hint="eastAsia"/>
          <w:kern w:val="0"/>
          <w:sz w:val="28"/>
          <w:szCs w:val="28"/>
        </w:rPr>
        <w:t>〔2022〕15号</w:t>
      </w:r>
      <w:r>
        <w:rPr>
          <w:rFonts w:ascii="宋体" w:eastAsia="宋体" w:hAnsi="宋体" w:cs="宋体" w:hint="eastAsia"/>
          <w:bCs/>
          <w:color w:val="343434"/>
          <w:kern w:val="0"/>
          <w:sz w:val="28"/>
          <w:szCs w:val="28"/>
        </w:rPr>
        <w:t>）</w:t>
      </w:r>
      <w:r>
        <w:rPr>
          <w:rFonts w:ascii="宋体" w:eastAsia="宋体" w:hAnsi="宋体" w:cs="宋体" w:hint="eastAsia"/>
          <w:kern w:val="0"/>
          <w:sz w:val="28"/>
          <w:szCs w:val="28"/>
        </w:rPr>
        <w:t>文件精神，安排2022年凤凰县农村环境治理项目统筹整合专项资金405.00万元。</w:t>
      </w:r>
      <w:r>
        <w:rPr>
          <w:rFonts w:ascii="宋体" w:eastAsia="宋体" w:hAnsi="宋体" w:cs="宋体" w:hint="eastAsia"/>
          <w:bCs/>
          <w:kern w:val="0"/>
          <w:sz w:val="28"/>
          <w:szCs w:val="28"/>
        </w:rPr>
        <w:t>按合同规定，</w:t>
      </w:r>
      <w:r>
        <w:rPr>
          <w:rFonts w:ascii="宋体" w:eastAsia="宋体" w:hAnsi="宋体" w:cs="宋体" w:hint="eastAsia"/>
          <w:kern w:val="0"/>
          <w:sz w:val="28"/>
          <w:szCs w:val="28"/>
        </w:rPr>
        <w:t>项目总投入1340.80万元，资金已全部到位，资金到位率100%，其中使用</w:t>
      </w:r>
      <w:r>
        <w:rPr>
          <w:rFonts w:ascii="宋体" w:eastAsia="宋体" w:hAnsi="宋体" w:cs="宋体" w:hint="eastAsia"/>
          <w:bCs/>
          <w:kern w:val="0"/>
          <w:sz w:val="28"/>
          <w:szCs w:val="28"/>
        </w:rPr>
        <w:t>统筹整合专项资金405.00万元，作为项目总投入30%预付款，实际使用资金405.00万元，资金已全部拨付到位，</w:t>
      </w:r>
      <w:r>
        <w:rPr>
          <w:rFonts w:ascii="宋体" w:eastAsia="宋体" w:hAnsi="宋体" w:cs="宋体" w:hint="eastAsia"/>
          <w:kern w:val="0"/>
          <w:sz w:val="28"/>
          <w:szCs w:val="28"/>
        </w:rPr>
        <w:t>资金到位率100%，</w:t>
      </w:r>
      <w:r>
        <w:rPr>
          <w:rFonts w:ascii="宋体" w:eastAsia="宋体" w:hAnsi="宋体" w:cs="宋体" w:hint="eastAsia"/>
          <w:bCs/>
          <w:kern w:val="0"/>
          <w:sz w:val="28"/>
          <w:szCs w:val="28"/>
        </w:rPr>
        <w:t>资金使用率100%</w:t>
      </w:r>
      <w:r>
        <w:rPr>
          <w:rFonts w:ascii="宋体" w:eastAsia="宋体" w:hAnsi="宋体" w:cs="宋体" w:hint="eastAsia"/>
          <w:kern w:val="0"/>
          <w:sz w:val="28"/>
          <w:szCs w:val="28"/>
        </w:rPr>
        <w:t>。剩余70%尾款935.80万元，由</w:t>
      </w:r>
      <w:r>
        <w:rPr>
          <w:rFonts w:ascii="宋体" w:eastAsia="宋体" w:hAnsi="宋体" w:cs="宋体" w:hint="eastAsia"/>
          <w:bCs/>
          <w:kern w:val="0"/>
          <w:sz w:val="28"/>
          <w:szCs w:val="28"/>
        </w:rPr>
        <w:t>湘财预【2022】61号2022年第二批地方政府新增专项债券安排支付。</w:t>
      </w:r>
    </w:p>
    <w:p w:rsidR="00954BE7" w:rsidRDefault="00491D2E">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（二）项目资金实际使用情况分析</w:t>
      </w:r>
    </w:p>
    <w:p w:rsidR="00954BE7" w:rsidRDefault="00491D2E">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2022年凤凰县农村环境治理项目按合同约定实际拨付长沙中联重科环境产业有限公司设备预付款405.00万元，支出明细情况如下表：</w:t>
      </w:r>
    </w:p>
    <w:tbl>
      <w:tblPr>
        <w:tblW w:w="9825" w:type="dxa"/>
        <w:jc w:val="center"/>
        <w:tblLook w:val="04A0"/>
      </w:tblPr>
      <w:tblGrid>
        <w:gridCol w:w="1755"/>
        <w:gridCol w:w="1740"/>
        <w:gridCol w:w="3720"/>
        <w:gridCol w:w="2610"/>
      </w:tblGrid>
      <w:tr w:rsidR="00954BE7">
        <w:trPr>
          <w:trHeight w:val="500"/>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时间</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金额（万元）</w:t>
            </w:r>
          </w:p>
        </w:tc>
        <w:tc>
          <w:tcPr>
            <w:tcW w:w="3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收款人</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w:t>
            </w:r>
          </w:p>
        </w:tc>
      </w:tr>
      <w:tr w:rsidR="00954BE7">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2022/4/14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长沙中联重科环境产业有限公司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财政直接支付</w:t>
            </w:r>
          </w:p>
        </w:tc>
      </w:tr>
      <w:tr w:rsidR="00954BE7">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长沙中联重科环境产业有限公司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财政直接支付</w:t>
            </w:r>
          </w:p>
        </w:tc>
      </w:tr>
      <w:tr w:rsidR="00954BE7">
        <w:trPr>
          <w:trHeight w:val="5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jc w:val="center"/>
              <w:rPr>
                <w:rFonts w:ascii="宋体" w:eastAsia="宋体" w:hAnsi="宋体" w:cs="宋体"/>
                <w:color w:val="000000"/>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r>
    </w:tbl>
    <w:p w:rsidR="00954BE7" w:rsidRDefault="00491D2E">
      <w:pPr>
        <w:adjustRightInd w:val="0"/>
        <w:spacing w:line="360" w:lineRule="auto"/>
        <w:ind w:firstLineChars="200" w:firstLine="560"/>
        <w:jc w:val="left"/>
        <w:rPr>
          <w:rFonts w:ascii="宋体" w:hAnsi="宋体" w:cs="宋体"/>
          <w:bCs/>
          <w:color w:val="343434"/>
          <w:kern w:val="0"/>
          <w:sz w:val="28"/>
          <w:szCs w:val="28"/>
        </w:rPr>
      </w:pPr>
      <w:r>
        <w:rPr>
          <w:rFonts w:asciiTheme="minorEastAsia" w:hAnsiTheme="minorEastAsia" w:cs="Times New Roman" w:hint="eastAsia"/>
          <w:sz w:val="28"/>
          <w:szCs w:val="28"/>
        </w:rPr>
        <w:t>根据项目实施单位报送的项目设备采购合同及相关材料复查核实，</w:t>
      </w:r>
      <w:r>
        <w:rPr>
          <w:rFonts w:ascii="宋体" w:eastAsia="宋体" w:hAnsi="宋体" w:cs="宋体" w:hint="eastAsia"/>
          <w:kern w:val="0"/>
          <w:sz w:val="28"/>
          <w:szCs w:val="28"/>
        </w:rPr>
        <w:t>2022年凤凰县农村环境治理项目总投入1340.80万元，项目执行期限为2022年4月1日至12月31日，按合同规定，合同签订后7个工作日内付合同总额的30%作预付款，设备安装验收合格交付后一个月内付至合同总额的95%（1273.76万元），合同总额的5%（67.04万元）作为质保金在质保期满后的7个工作日内支付。2022年凤凰县农村环境治理项目统筹整合专项资金405.00万元，按合同规定，作为项目30%的预付款，实际到位资金405.00万元，使用资金405</w:t>
      </w:r>
      <w:r>
        <w:rPr>
          <w:rFonts w:ascii="宋体" w:eastAsia="宋体" w:hAnsi="宋体" w:cs="宋体" w:hint="eastAsia"/>
          <w:kern w:val="0"/>
          <w:sz w:val="28"/>
          <w:szCs w:val="28"/>
        </w:rPr>
        <w:lastRenderedPageBreak/>
        <w:t>万元，资金到位率100%，资金使用率100%。</w:t>
      </w:r>
      <w:r>
        <w:rPr>
          <w:rFonts w:asciiTheme="minorEastAsia" w:hAnsiTheme="minorEastAsia" w:cs="Times New Roman" w:hint="eastAsia"/>
          <w:sz w:val="28"/>
          <w:szCs w:val="28"/>
        </w:rPr>
        <w:t>资金支付实行国库集中支付方式，资金支付依据合规合法，有完整的审批程序和手续，没有截留、挤占、挪用、虚列支出等情况。</w:t>
      </w:r>
    </w:p>
    <w:p w:rsidR="00954BE7" w:rsidRDefault="00491D2E">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三、项目绩效情况</w:t>
      </w:r>
    </w:p>
    <w:p w:rsidR="00954BE7" w:rsidRDefault="00491D2E">
      <w:pPr>
        <w:adjustRightInd w:val="0"/>
        <w:spacing w:line="360" w:lineRule="auto"/>
        <w:ind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（一）绩效目标</w:t>
      </w:r>
    </w:p>
    <w:p w:rsidR="00954BE7" w:rsidRDefault="00491D2E">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长期绩效目标：坚决贯彻落实凤凰县农村环境治理政策要求，切实改善环境，助力乡村振兴；以更坚决的态度、更高的标准、更严的要求、更硬的措施、更快的速度、更合法合规合理的结果导向，全力以赴抓好县域环境治理；要举一反三，统筹抓好污水处理厂、黑臭水体、饮用水源保护、垃圾污水环境突出问题整改，坚决防止问题反弹，确保全县生态环境质量持续改善。</w:t>
      </w:r>
    </w:p>
    <w:p w:rsidR="00954BE7" w:rsidRDefault="00491D2E">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年度绩效目标：凤凰县农村环境治理项目目标新增购置10座（1大9小）垃圾转运收储站配套设施，涉及17个乡镇，预计改善41万人口的居住环境，具体绩效目标值设定如下表：</w:t>
      </w:r>
    </w:p>
    <w:tbl>
      <w:tblPr>
        <w:tblW w:w="9420" w:type="dxa"/>
        <w:jc w:val="center"/>
        <w:tblLook w:val="04A0"/>
      </w:tblPr>
      <w:tblGrid>
        <w:gridCol w:w="1079"/>
        <w:gridCol w:w="2158"/>
        <w:gridCol w:w="2192"/>
        <w:gridCol w:w="2466"/>
        <w:gridCol w:w="1525"/>
      </w:tblGrid>
      <w:tr w:rsidR="00954BE7">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年度</w:t>
            </w:r>
          </w:p>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目标</w:t>
            </w:r>
          </w:p>
        </w:tc>
        <w:tc>
          <w:tcPr>
            <w:tcW w:w="8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顺利完成“1大9小”垃圾转运站配套设备采购和安装，并保障投入使用</w:t>
            </w:r>
          </w:p>
        </w:tc>
      </w:tr>
      <w:tr w:rsidR="00954BE7">
        <w:trPr>
          <w:trHeight w:val="270"/>
          <w:jc w:val="center"/>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w:t>
            </w:r>
          </w:p>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指标</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指标值</w:t>
            </w:r>
          </w:p>
        </w:tc>
      </w:tr>
      <w:tr w:rsidR="00954BE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产出指标</w:t>
            </w:r>
          </w:p>
        </w:tc>
        <w:tc>
          <w:tcPr>
            <w:tcW w:w="2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新增购置垃圾转运收</w:t>
            </w:r>
            <w:r>
              <w:rPr>
                <w:rFonts w:ascii="宋体" w:eastAsia="宋体" w:hAnsi="宋体" w:cs="宋体" w:hint="eastAsia"/>
                <w:color w:val="000000"/>
                <w:kern w:val="0"/>
                <w:sz w:val="22"/>
                <w:szCs w:val="22"/>
              </w:rPr>
              <w:br/>
              <w:t>储站设施数量</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10个</w:t>
            </w:r>
          </w:p>
        </w:tc>
      </w:tr>
      <w:tr w:rsidR="00954BE7">
        <w:trPr>
          <w:trHeight w:val="27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项目涉及乡镇数量</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17个</w:t>
            </w:r>
          </w:p>
        </w:tc>
      </w:tr>
      <w:tr w:rsidR="00954BE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垃圾转运收储站设施</w:t>
            </w:r>
            <w:r>
              <w:rPr>
                <w:rFonts w:ascii="宋体" w:eastAsia="宋体" w:hAnsi="宋体" w:cs="宋体" w:hint="eastAsia"/>
                <w:color w:val="000000"/>
                <w:kern w:val="0"/>
                <w:sz w:val="22"/>
                <w:szCs w:val="22"/>
              </w:rPr>
              <w:br/>
              <w:t>验收合格率</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r>
      <w:tr w:rsidR="00954BE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垃圾转运收储站设施</w:t>
            </w:r>
            <w:r>
              <w:rPr>
                <w:rFonts w:ascii="宋体" w:eastAsia="宋体" w:hAnsi="宋体" w:cs="宋体" w:hint="eastAsia"/>
                <w:color w:val="000000"/>
                <w:kern w:val="0"/>
                <w:sz w:val="22"/>
                <w:szCs w:val="22"/>
              </w:rPr>
              <w:br/>
              <w:t>建设工期</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2022/4/1至2022/12/31</w:t>
            </w:r>
          </w:p>
        </w:tc>
      </w:tr>
      <w:tr w:rsidR="00954BE7">
        <w:trPr>
          <w:trHeight w:val="50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项目投入成本</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405.00万元</w:t>
            </w:r>
          </w:p>
        </w:tc>
      </w:tr>
      <w:tr w:rsidR="00954BE7">
        <w:trPr>
          <w:trHeight w:val="36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效益指标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受益人口数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41万人</w:t>
            </w:r>
          </w:p>
        </w:tc>
      </w:tr>
      <w:tr w:rsidR="00954BE7">
        <w:trPr>
          <w:trHeight w:val="44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可持续影响指标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工程寿命</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8年</w:t>
            </w:r>
          </w:p>
        </w:tc>
      </w:tr>
      <w:tr w:rsidR="00954BE7">
        <w:trPr>
          <w:trHeight w:val="600"/>
          <w:jc w:val="center"/>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服务对象满意度指标</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居民对象满意度</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95%</w:t>
            </w:r>
          </w:p>
        </w:tc>
      </w:tr>
    </w:tbl>
    <w:p w:rsidR="00954BE7" w:rsidRDefault="00491D2E">
      <w:pPr>
        <w:adjustRightInd w:val="0"/>
        <w:spacing w:line="360" w:lineRule="auto"/>
        <w:ind w:firstLineChars="100" w:firstLine="280"/>
        <w:jc w:val="left"/>
        <w:rPr>
          <w:rFonts w:ascii="宋体" w:eastAsia="宋体" w:hAnsi="宋体" w:cs="宋体"/>
          <w:bCs/>
          <w:kern w:val="0"/>
          <w:sz w:val="28"/>
          <w:szCs w:val="28"/>
        </w:rPr>
      </w:pPr>
      <w:r>
        <w:rPr>
          <w:rFonts w:ascii="宋体" w:eastAsia="宋体" w:hAnsi="宋体" w:cs="宋体" w:hint="eastAsia"/>
          <w:bCs/>
          <w:kern w:val="0"/>
          <w:sz w:val="28"/>
          <w:szCs w:val="28"/>
        </w:rPr>
        <w:lastRenderedPageBreak/>
        <w:t>（二）项目产出及绩效完成情况</w:t>
      </w:r>
    </w:p>
    <w:p w:rsidR="00954BE7" w:rsidRDefault="00491D2E">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1、项目产出情况：</w:t>
      </w:r>
    </w:p>
    <w:p w:rsidR="00954BE7" w:rsidRDefault="00491D2E">
      <w:pPr>
        <w:adjustRightInd w:val="0"/>
        <w:spacing w:line="360" w:lineRule="auto"/>
        <w:ind w:firstLineChars="200" w:firstLine="560"/>
        <w:jc w:val="left"/>
        <w:rPr>
          <w:rFonts w:ascii="宋体" w:eastAsia="宋体" w:hAnsi="宋体" w:cs="宋体"/>
          <w:kern w:val="0"/>
          <w:sz w:val="22"/>
          <w:szCs w:val="22"/>
        </w:rPr>
      </w:pPr>
      <w:r>
        <w:rPr>
          <w:rFonts w:ascii="宋体" w:eastAsia="宋体" w:hAnsi="宋体" w:cs="宋体" w:hint="eastAsia"/>
          <w:bCs/>
          <w:kern w:val="0"/>
          <w:sz w:val="28"/>
          <w:szCs w:val="28"/>
        </w:rPr>
        <w:t>项目购置10个（1大9小）垃圾转运收储站配套设备产品，设备总金额1340.80万元，实际支付405.00万元作为预付款，以保障设备的发货、安装和投入使用。截至2022年12月，9小设备已经全部完成采购、安装，2023年2月后陆续投入使用；1大中转站设备因垃圾中转站土建工程未完工影响，设备暂未发货，未安装投入使用。具体项目产出情况如下：</w:t>
      </w:r>
    </w:p>
    <w:tbl>
      <w:tblPr>
        <w:tblW w:w="8845" w:type="dxa"/>
        <w:jc w:val="center"/>
        <w:tblLayout w:type="fixed"/>
        <w:tblLook w:val="04A0"/>
      </w:tblPr>
      <w:tblGrid>
        <w:gridCol w:w="899"/>
        <w:gridCol w:w="1372"/>
        <w:gridCol w:w="1725"/>
        <w:gridCol w:w="1097"/>
        <w:gridCol w:w="1433"/>
        <w:gridCol w:w="2319"/>
      </w:tblGrid>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8"/>
                <w:szCs w:val="28"/>
              </w:rPr>
            </w:pPr>
            <w:r>
              <w:rPr>
                <w:rFonts w:ascii="宋体" w:eastAsia="宋体" w:hAnsi="宋体" w:cs="宋体" w:hint="eastAsia"/>
                <w:b/>
                <w:bCs/>
                <w:kern w:val="0"/>
                <w:sz w:val="28"/>
                <w:szCs w:val="28"/>
              </w:rPr>
              <w:t>9小</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中转站地点</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产品名称</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总金额（万）</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安装完成时间</w:t>
            </w: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启用时间</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阿拉营镇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2023/7月6日启用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腊尔山镇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2023/7月14日启用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吉信镇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2023/2月9日启用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木江坪镇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2023/9月12日启用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5</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禾库镇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2023/7月14日启用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6</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廖家桥镇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2023/7月6日启用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7</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新场镇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2023/7月12日启用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千工坪镇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2023/7月12日启用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9</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麻冲乡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8吨垂直压缩机</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47.60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2022/12/31</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4"/>
              </w:rPr>
            </w:pPr>
            <w:r>
              <w:rPr>
                <w:rFonts w:ascii="宋体" w:eastAsia="宋体" w:hAnsi="宋体" w:cs="宋体" w:hint="eastAsia"/>
                <w:kern w:val="0"/>
                <w:sz w:val="24"/>
              </w:rPr>
              <w:t>2023/8月1日启用</w:t>
            </w:r>
          </w:p>
        </w:tc>
      </w:tr>
      <w:tr w:rsidR="00954BE7">
        <w:trPr>
          <w:trHeight w:val="680"/>
          <w:jc w:val="center"/>
        </w:trPr>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jc w:val="center"/>
              <w:rPr>
                <w:rFonts w:ascii="宋体" w:eastAsia="宋体" w:hAnsi="宋体" w:cs="宋体"/>
                <w:sz w:val="22"/>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合计</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left"/>
              <w:rPr>
                <w:rFonts w:ascii="宋体" w:eastAsia="宋体" w:hAnsi="宋体" w:cs="宋体"/>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jc w:val="center"/>
              <w:rPr>
                <w:rFonts w:ascii="宋体" w:eastAsia="宋体" w:hAnsi="宋体" w:cs="宋体"/>
                <w:sz w:val="22"/>
                <w:szCs w:val="22"/>
              </w:rPr>
            </w:pPr>
            <w:r>
              <w:rPr>
                <w:rFonts w:ascii="宋体" w:eastAsia="宋体" w:hAnsi="宋体" w:cs="宋体" w:hint="eastAsia"/>
                <w:sz w:val="22"/>
                <w:szCs w:val="22"/>
              </w:rPr>
              <w:t>428.40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r>
    </w:tbl>
    <w:p w:rsidR="00954BE7" w:rsidRDefault="00954BE7">
      <w:pPr>
        <w:adjustRightInd w:val="0"/>
        <w:spacing w:line="360" w:lineRule="auto"/>
        <w:ind w:firstLineChars="200" w:firstLine="560"/>
        <w:jc w:val="left"/>
        <w:rPr>
          <w:rFonts w:ascii="宋体" w:eastAsia="宋体" w:hAnsi="宋体" w:cs="宋体"/>
          <w:bCs/>
          <w:kern w:val="0"/>
          <w:sz w:val="28"/>
          <w:szCs w:val="28"/>
        </w:rPr>
      </w:pPr>
    </w:p>
    <w:tbl>
      <w:tblPr>
        <w:tblW w:w="9081" w:type="dxa"/>
        <w:jc w:val="center"/>
        <w:tblLayout w:type="fixed"/>
        <w:tblLook w:val="04A0"/>
      </w:tblPr>
      <w:tblGrid>
        <w:gridCol w:w="1356"/>
        <w:gridCol w:w="1560"/>
        <w:gridCol w:w="2443"/>
        <w:gridCol w:w="1442"/>
        <w:gridCol w:w="2280"/>
      </w:tblGrid>
      <w:tr w:rsidR="00954BE7">
        <w:trPr>
          <w:trHeight w:val="603"/>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8"/>
                <w:szCs w:val="28"/>
              </w:rPr>
            </w:pPr>
            <w:r>
              <w:rPr>
                <w:rFonts w:ascii="宋体" w:eastAsia="宋体" w:hAnsi="宋体" w:cs="宋体" w:hint="eastAsia"/>
                <w:b/>
                <w:bCs/>
                <w:kern w:val="0"/>
                <w:sz w:val="28"/>
                <w:szCs w:val="28"/>
              </w:rPr>
              <w:t xml:space="preserve">1大 </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中转站地点</w:t>
            </w:r>
          </w:p>
        </w:tc>
        <w:tc>
          <w:tcPr>
            <w:tcW w:w="3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widowControl/>
              <w:jc w:val="center"/>
              <w:textAlignment w:val="center"/>
              <w:rPr>
                <w:rFonts w:ascii="宋体" w:eastAsia="宋体" w:hAnsi="宋体" w:cs="宋体"/>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备注</w:t>
            </w:r>
          </w:p>
        </w:tc>
      </w:tr>
      <w:tr w:rsidR="00954BE7">
        <w:trPr>
          <w:trHeight w:val="509"/>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b/>
                <w:bCs/>
                <w:kern w:val="0"/>
                <w:sz w:val="28"/>
                <w:szCs w:val="28"/>
              </w:rPr>
              <w:lastRenderedPageBreak/>
              <w:t>高峰大站</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jc w:val="left"/>
              <w:rPr>
                <w:rFonts w:ascii="宋体" w:eastAsia="宋体" w:hAnsi="宋体" w:cs="宋体"/>
                <w:sz w:val="22"/>
                <w:szCs w:val="22"/>
              </w:rPr>
            </w:pPr>
            <w:r>
              <w:rPr>
                <w:rFonts w:ascii="宋体" w:eastAsia="宋体" w:hAnsi="宋体" w:cs="宋体" w:hint="eastAsia"/>
                <w:kern w:val="0"/>
                <w:sz w:val="22"/>
                <w:szCs w:val="22"/>
              </w:rPr>
              <w:t>沱江镇</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产品名称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Style w:val="font31"/>
                <w:rFonts w:hint="default"/>
                <w:color w:val="auto"/>
              </w:rPr>
              <w:t>总金额（万）</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left"/>
              <w:textAlignment w:val="center"/>
              <w:rPr>
                <w:rFonts w:ascii="宋体" w:eastAsia="宋体" w:hAnsi="宋体" w:cs="宋体"/>
                <w:sz w:val="22"/>
                <w:szCs w:val="22"/>
              </w:rPr>
            </w:pPr>
            <w:r>
              <w:rPr>
                <w:rFonts w:ascii="宋体" w:eastAsia="宋体" w:hAnsi="宋体" w:cs="宋体" w:hint="eastAsia"/>
                <w:kern w:val="0"/>
                <w:sz w:val="22"/>
                <w:szCs w:val="22"/>
              </w:rPr>
              <w:t>因转运站土建工程未完工，1大设备暂未运输过来，未安装启用</w:t>
            </w: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大</w:t>
            </w:r>
            <w:r>
              <w:rPr>
                <w:rFonts w:ascii="宋体" w:eastAsia="宋体" w:hAnsi="宋体" w:cs="宋体" w:hint="eastAsia"/>
                <w:kern w:val="0"/>
                <w:sz w:val="22"/>
                <w:szCs w:val="22"/>
              </w:rPr>
              <w:br/>
              <w:t>型</w:t>
            </w:r>
            <w:r>
              <w:rPr>
                <w:rFonts w:ascii="宋体" w:eastAsia="宋体" w:hAnsi="宋体" w:cs="宋体" w:hint="eastAsia"/>
                <w:kern w:val="0"/>
                <w:sz w:val="22"/>
                <w:szCs w:val="22"/>
              </w:rPr>
              <w:br/>
              <w:t>转</w:t>
            </w:r>
            <w:r>
              <w:rPr>
                <w:rFonts w:ascii="宋体" w:eastAsia="宋体" w:hAnsi="宋体" w:cs="宋体" w:hint="eastAsia"/>
                <w:kern w:val="0"/>
                <w:sz w:val="22"/>
                <w:szCs w:val="22"/>
              </w:rPr>
              <w:br/>
              <w:t>运</w:t>
            </w:r>
            <w:r>
              <w:rPr>
                <w:rFonts w:ascii="宋体" w:eastAsia="宋体" w:hAnsi="宋体" w:cs="宋体" w:hint="eastAsia"/>
                <w:kern w:val="0"/>
                <w:sz w:val="22"/>
                <w:szCs w:val="22"/>
              </w:rPr>
              <w:br/>
              <w:t>站</w:t>
            </w:r>
            <w:r>
              <w:rPr>
                <w:rFonts w:ascii="宋体" w:eastAsia="宋体" w:hAnsi="宋体" w:cs="宋体" w:hint="eastAsia"/>
                <w:kern w:val="0"/>
                <w:sz w:val="22"/>
                <w:szCs w:val="22"/>
              </w:rPr>
              <w:br/>
              <w:t>设</w:t>
            </w:r>
            <w:r>
              <w:rPr>
                <w:rFonts w:ascii="宋体" w:eastAsia="宋体" w:hAnsi="宋体" w:cs="宋体" w:hint="eastAsia"/>
                <w:kern w:val="0"/>
                <w:sz w:val="22"/>
                <w:szCs w:val="22"/>
              </w:rPr>
              <w:br/>
              <w:t>施</w:t>
            </w:r>
            <w:r>
              <w:rPr>
                <w:rFonts w:ascii="宋体" w:eastAsia="宋体" w:hAnsi="宋体" w:cs="宋体" w:hint="eastAsia"/>
                <w:kern w:val="0"/>
                <w:sz w:val="22"/>
                <w:szCs w:val="22"/>
              </w:rPr>
              <w:br/>
              <w:t>设</w:t>
            </w:r>
            <w:r>
              <w:rPr>
                <w:rFonts w:ascii="宋体" w:eastAsia="宋体" w:hAnsi="宋体" w:cs="宋体" w:hint="eastAsia"/>
                <w:kern w:val="0"/>
                <w:sz w:val="22"/>
                <w:szCs w:val="22"/>
              </w:rPr>
              <w:br/>
              <w:t>备</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水平直压式压缩机</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245.00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移箱平台</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42.00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称重计量系统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28.50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上料机</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236.00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中央控制系统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18.00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大屏显示系统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4.00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视频监控系统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7.00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交通指挥系统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2.40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9</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负压除尘除臭系统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118.00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10</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空间异味喷淋除臭系统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8.50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11</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料口喷淋降尘系统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7.80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12</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快速卷帘门</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30.00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13</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高压清洗机</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3.00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14</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语音广播系统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1.40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15</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渗滤液真空收集系统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89.00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16</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送风系统</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11.50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17</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风幕机</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2.80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42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18</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954BE7">
            <w:pPr>
              <w:jc w:val="center"/>
              <w:rPr>
                <w:rFonts w:ascii="宋体" w:eastAsia="宋体" w:hAnsi="宋体" w:cs="宋体"/>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left"/>
              <w:textAlignment w:val="center"/>
              <w:rPr>
                <w:rFonts w:ascii="宋体" w:eastAsia="宋体" w:hAnsi="宋体" w:cs="宋体"/>
                <w:sz w:val="22"/>
                <w:szCs w:val="22"/>
              </w:rPr>
            </w:pPr>
            <w:r>
              <w:rPr>
                <w:rStyle w:val="font31"/>
                <w:rFonts w:hint="default"/>
                <w:color w:val="auto"/>
              </w:rPr>
              <w:t>自动洗车机</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BE7" w:rsidRDefault="00491D2E">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57.50</w:t>
            </w: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sz w:val="22"/>
                <w:szCs w:val="22"/>
              </w:rPr>
            </w:pPr>
          </w:p>
        </w:tc>
      </w:tr>
      <w:tr w:rsidR="00954BE7">
        <w:trPr>
          <w:trHeight w:val="360"/>
          <w:jc w:val="center"/>
        </w:trPr>
        <w:tc>
          <w:tcPr>
            <w:tcW w:w="13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color w:val="000000"/>
                <w:sz w:val="22"/>
                <w:szCs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合计</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491D2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912.40</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4BE7" w:rsidRDefault="00954BE7">
            <w:pPr>
              <w:rPr>
                <w:rFonts w:ascii="宋体" w:eastAsia="宋体" w:hAnsi="宋体" w:cs="宋体"/>
                <w:color w:val="000000"/>
                <w:sz w:val="22"/>
                <w:szCs w:val="22"/>
              </w:rPr>
            </w:pPr>
          </w:p>
        </w:tc>
      </w:tr>
    </w:tbl>
    <w:p w:rsidR="00954BE7" w:rsidRDefault="00491D2E">
      <w:pPr>
        <w:adjustRightInd w:val="0"/>
        <w:spacing w:line="360" w:lineRule="auto"/>
        <w:jc w:val="left"/>
        <w:rPr>
          <w:rFonts w:ascii="宋体" w:eastAsia="宋体" w:hAnsi="宋体" w:cs="宋体"/>
          <w:bCs/>
          <w:kern w:val="0"/>
          <w:sz w:val="22"/>
          <w:szCs w:val="22"/>
        </w:rPr>
      </w:pPr>
      <w:r>
        <w:rPr>
          <w:rFonts w:ascii="宋体" w:eastAsia="宋体" w:hAnsi="宋体" w:cs="宋体" w:hint="eastAsia"/>
          <w:bCs/>
          <w:kern w:val="0"/>
          <w:sz w:val="22"/>
          <w:szCs w:val="22"/>
        </w:rPr>
        <w:t>注：①至2022年12月20日，9小设备已安装完毕签署产品验收交接单，但因基础设施未完善，未通水电进行设备测试；②1大设备因转运站土建工程未完工，设备未发货。</w:t>
      </w:r>
    </w:p>
    <w:p w:rsidR="00954BE7" w:rsidRDefault="00491D2E">
      <w:pPr>
        <w:adjustRightInd w:val="0"/>
        <w:spacing w:line="360" w:lineRule="auto"/>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t>2、绩效完成情况</w:t>
      </w:r>
    </w:p>
    <w:p w:rsidR="00954BE7" w:rsidRDefault="00491D2E">
      <w:pPr>
        <w:widowControl/>
        <w:adjustRightInd w:val="0"/>
        <w:spacing w:line="504" w:lineRule="auto"/>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t>（1）</w:t>
      </w:r>
      <w:r>
        <w:rPr>
          <w:rFonts w:ascii="宋体" w:eastAsia="宋体" w:hAnsi="宋体" w:cs="宋体" w:hint="eastAsia"/>
          <w:bCs/>
          <w:color w:val="343434"/>
          <w:kern w:val="0"/>
          <w:sz w:val="28"/>
          <w:szCs w:val="28"/>
        </w:rPr>
        <w:t>经济效益：根据项目实施完成情况，9小设备安装完成并投入使用，增加了就业岗位12个，给当地群众带来了就业机会，人均每年增收28800元；通过项目的实施，可以改善人居环境，为</w:t>
      </w:r>
      <w:r>
        <w:rPr>
          <w:rFonts w:ascii="宋体" w:eastAsia="宋体" w:hAnsi="宋体" w:cs="宋体" w:hint="eastAsia"/>
          <w:bCs/>
          <w:kern w:val="0"/>
          <w:sz w:val="28"/>
          <w:szCs w:val="28"/>
        </w:rPr>
        <w:t>促进项目区生态旅游发展，促进乡村建设，带动经济发展，及为提高居民</w:t>
      </w:r>
      <w:r>
        <w:rPr>
          <w:rFonts w:ascii="宋体" w:eastAsia="宋体" w:hAnsi="宋体" w:cs="宋体" w:hint="eastAsia"/>
          <w:bCs/>
          <w:kern w:val="0"/>
          <w:sz w:val="28"/>
          <w:szCs w:val="28"/>
        </w:rPr>
        <w:lastRenderedPageBreak/>
        <w:t>生活水平及生活质量创造条件。但截至评价日，1大高峰大站设备因转运站土建工程未完工，设备尚未发货，还未产生效益。</w:t>
      </w:r>
    </w:p>
    <w:p w:rsidR="00954BE7" w:rsidRDefault="00491D2E">
      <w:pPr>
        <w:adjustRightInd w:val="0"/>
        <w:spacing w:line="360" w:lineRule="auto"/>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t>（2）社会效益：通过项目实施，能改善居民生活环境，提升市容市貌。垃圾含有大量微生物，是病菌、病毒、害虫等的滋生地和繁殖地，严重地危害人身健康，项目的实施提高了垃圾处理能力，能有效减少疾病传播可能，对社会安定团结和农村经济快速发展起到积极的作用。但截至评价日，9小设备已完成并投入使用，1大高峰大站设备因转运站土建未完工，设备尚未发货，导致项目效益</w:t>
      </w:r>
      <w:r>
        <w:rPr>
          <w:rFonts w:ascii="宋体" w:eastAsia="宋体" w:hAnsi="宋体" w:cs="宋体" w:hint="eastAsia"/>
          <w:kern w:val="0"/>
          <w:sz w:val="28"/>
          <w:szCs w:val="28"/>
        </w:rPr>
        <w:t>未达到项目预期目标</w:t>
      </w:r>
      <w:r>
        <w:rPr>
          <w:rFonts w:ascii="宋体" w:eastAsia="宋体" w:hAnsi="宋体" w:cs="宋体" w:hint="eastAsia"/>
          <w:bCs/>
          <w:kern w:val="0"/>
          <w:sz w:val="28"/>
          <w:szCs w:val="28"/>
        </w:rPr>
        <w:t>。</w:t>
      </w:r>
    </w:p>
    <w:p w:rsidR="00954BE7" w:rsidRDefault="00491D2E">
      <w:pPr>
        <w:adjustRightInd w:val="0"/>
        <w:spacing w:line="360" w:lineRule="auto"/>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t>（3）生态效益：项目实施后，有效完成垃圾填埋问题整改，有利于改善区域小气候，能使该项目区内现有生态环境得到改善，垃圾处理设施进一步完善，抵抗自然灾害的能力有所增强，绿化美化环境，为居民供良好的生活环境；提高生活垃圾处理能力，能减少有害垃圾对环境的危害，节约资源和能源，有效防止垃圾二次污染。</w:t>
      </w:r>
    </w:p>
    <w:p w:rsidR="00954BE7" w:rsidRDefault="00491D2E">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4）可持续影响：垃圾转运站设备工程寿命可持续性为8年，项目的实施将持续改善凤凰县城乡卫生环境质量，生态状况明显改善，人居环境适宜性极大提高。但沱江镇高峰大站土建未完工，设备暂时未安装未投入使用，暂未对该站区域产生可持续影响。</w:t>
      </w:r>
    </w:p>
    <w:p w:rsidR="00954BE7" w:rsidRDefault="00491D2E">
      <w:pPr>
        <w:adjustRightInd w:val="0"/>
        <w:spacing w:line="360" w:lineRule="auto"/>
        <w:ind w:firstLine="560"/>
        <w:jc w:val="left"/>
        <w:rPr>
          <w:rFonts w:ascii="宋体" w:eastAsia="宋体" w:hAnsi="宋体" w:cs="宋体"/>
          <w:bCs/>
          <w:kern w:val="0"/>
          <w:sz w:val="28"/>
          <w:szCs w:val="28"/>
          <w:highlight w:val="yellow"/>
        </w:rPr>
      </w:pPr>
      <w:r>
        <w:rPr>
          <w:rFonts w:ascii="宋体" w:eastAsia="宋体" w:hAnsi="宋体" w:cs="宋体" w:hint="eastAsia"/>
          <w:bCs/>
          <w:kern w:val="0"/>
          <w:sz w:val="28"/>
          <w:szCs w:val="28"/>
        </w:rPr>
        <w:t>（5）满意度指标：2022年</w:t>
      </w:r>
      <w:r>
        <w:rPr>
          <w:rFonts w:ascii="宋体" w:eastAsia="宋体" w:hAnsi="宋体" w:cs="宋体" w:hint="eastAsia"/>
          <w:bCs/>
          <w:color w:val="343434"/>
          <w:kern w:val="0"/>
          <w:sz w:val="28"/>
          <w:szCs w:val="28"/>
        </w:rPr>
        <w:t>统筹整合使用财政涉农资金</w:t>
      </w:r>
      <w:r>
        <w:rPr>
          <w:rFonts w:ascii="宋体" w:eastAsia="宋体" w:hAnsi="宋体" w:cs="宋体" w:hint="eastAsia"/>
          <w:bCs/>
          <w:kern w:val="0"/>
          <w:sz w:val="28"/>
          <w:szCs w:val="28"/>
        </w:rPr>
        <w:t>农村环境治理项目，</w:t>
      </w:r>
      <w:r>
        <w:rPr>
          <w:rFonts w:asciiTheme="minorEastAsia" w:hAnsiTheme="minorEastAsia" w:hint="eastAsia"/>
          <w:sz w:val="28"/>
          <w:szCs w:val="28"/>
        </w:rPr>
        <w:t>评价小组于2023年9月对9小转运站区域的社会群众共发放调查问卷50份，实际有效收回50份，有效回收率100%，群众满意度较高；高峰大站未完工未投入使用，该区域群众满意度不高。</w:t>
      </w:r>
    </w:p>
    <w:p w:rsidR="00954BE7" w:rsidRDefault="00491D2E">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lastRenderedPageBreak/>
        <w:t>四、现场评价复核抽查情况</w:t>
      </w:r>
    </w:p>
    <w:p w:rsidR="00954BE7" w:rsidRDefault="00491D2E">
      <w:pPr>
        <w:spacing w:line="360" w:lineRule="auto"/>
        <w:ind w:firstLineChars="200" w:firstLine="560"/>
        <w:rPr>
          <w:rFonts w:asciiTheme="minorEastAsia" w:hAnsiTheme="minorEastAsia"/>
          <w:sz w:val="28"/>
          <w:szCs w:val="28"/>
        </w:rPr>
      </w:pPr>
      <w:r>
        <w:rPr>
          <w:rFonts w:ascii="宋体" w:eastAsia="宋体" w:hAnsi="宋体" w:cs="宋体" w:hint="eastAsia"/>
          <w:bCs/>
          <w:color w:val="343434"/>
          <w:kern w:val="0"/>
          <w:sz w:val="28"/>
          <w:szCs w:val="28"/>
        </w:rPr>
        <w:t>根据《凤凰县财政局关于开展2022年财政衔接推进乡村振兴补助资金和统筹整合使用财政涉农资金绩效自评复核评价工作的通知》凤财绩函〔2023〕3号文件</w:t>
      </w:r>
      <w:r>
        <w:rPr>
          <w:rFonts w:asciiTheme="minorEastAsia" w:hAnsiTheme="minorEastAsia" w:hint="eastAsia"/>
          <w:sz w:val="28"/>
          <w:szCs w:val="28"/>
        </w:rPr>
        <w:t>，评价小组人员于2023年8月15日至9月19日对2022年度凤凰县农村环境治理项目资金开展绩效自评复核评价工作，本项目采用到主管单位查看项目申报、评审、公示等资料和抽查项目实施单位现场评价相结合的方式进行，</w:t>
      </w:r>
      <w:r>
        <w:rPr>
          <w:rFonts w:asciiTheme="minorEastAsia" w:hAnsiTheme="minorEastAsia" w:cs="宋体" w:hint="eastAsia"/>
          <w:kern w:val="0"/>
          <w:sz w:val="28"/>
          <w:szCs w:val="28"/>
        </w:rPr>
        <w:t>通过查阅资料、会计抽查、实地查看、问卷调查等方式实施现场评价。评价小组通过查阅</w:t>
      </w:r>
      <w:r>
        <w:rPr>
          <w:rFonts w:asciiTheme="minorEastAsia" w:hAnsiTheme="minorEastAsia" w:hint="eastAsia"/>
          <w:sz w:val="28"/>
          <w:szCs w:val="28"/>
        </w:rPr>
        <w:t>凤凰环境卫生管理局</w:t>
      </w:r>
      <w:r>
        <w:rPr>
          <w:rFonts w:asciiTheme="minorEastAsia" w:hAnsiTheme="minorEastAsia" w:cs="宋体" w:hint="eastAsia"/>
          <w:kern w:val="0"/>
          <w:sz w:val="28"/>
          <w:szCs w:val="28"/>
        </w:rPr>
        <w:t>的财务资料，检查财政拨款凭证，了解拨款到位情况，通过检查支付凭证了解专项资金使用情况，收付是否符合财政专项资金的管理办法</w:t>
      </w:r>
      <w:r>
        <w:rPr>
          <w:rFonts w:asciiTheme="minorEastAsia" w:hAnsiTheme="minorEastAsia" w:hint="eastAsia"/>
          <w:sz w:val="28"/>
          <w:szCs w:val="28"/>
        </w:rPr>
        <w:t>，对专项资金项目的财务收支情况，工程建设进展情况等办法，对凤凰县环境卫生管理局的统筹整合专项资金项目的资金使用情况进行全面的绩效复核，对绩效指标完成情况、项目产出情况、项目效益情况和项目满意度等进行了考核，本次评价是真实的、可靠的、公允的。</w:t>
      </w:r>
    </w:p>
    <w:p w:rsidR="00954BE7" w:rsidRDefault="00491D2E">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五、评价结论及分析</w:t>
      </w:r>
    </w:p>
    <w:p w:rsidR="00954BE7" w:rsidRDefault="00491D2E">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（一）综合评价结果</w:t>
      </w:r>
    </w:p>
    <w:p w:rsidR="00954BE7" w:rsidRDefault="00491D2E">
      <w:pPr>
        <w:spacing w:line="360" w:lineRule="auto"/>
        <w:ind w:firstLineChars="200" w:firstLine="560"/>
        <w:rPr>
          <w:rFonts w:asciiTheme="minorEastAsia" w:hAnsiTheme="minorEastAsia"/>
          <w:sz w:val="28"/>
          <w:szCs w:val="28"/>
        </w:rPr>
      </w:pPr>
      <w:r>
        <w:rPr>
          <w:rFonts w:asciiTheme="minorEastAsia" w:hAnsiTheme="minorEastAsia" w:cs="宋体" w:hint="eastAsia"/>
          <w:kern w:val="0"/>
          <w:sz w:val="28"/>
          <w:szCs w:val="28"/>
        </w:rPr>
        <w:t>本次现场评价2022年</w:t>
      </w:r>
      <w:r>
        <w:rPr>
          <w:rFonts w:ascii="宋体" w:eastAsia="宋体" w:hAnsi="宋体" w:cs="宋体" w:hint="eastAsia"/>
          <w:kern w:val="0"/>
          <w:sz w:val="28"/>
          <w:szCs w:val="28"/>
        </w:rPr>
        <w:t>凤凰县农村环境治理</w:t>
      </w:r>
      <w:r>
        <w:rPr>
          <w:rFonts w:asciiTheme="minorEastAsia" w:hAnsiTheme="minorEastAsia" w:cs="宋体" w:hint="eastAsia"/>
          <w:kern w:val="0"/>
          <w:sz w:val="28"/>
          <w:szCs w:val="28"/>
        </w:rPr>
        <w:t>项目资金的使用绩效评价结果为</w:t>
      </w:r>
      <w:r>
        <w:rPr>
          <w:rFonts w:asciiTheme="minorEastAsia" w:hAnsiTheme="minorEastAsia" w:hint="eastAsia"/>
          <w:sz w:val="28"/>
          <w:szCs w:val="28"/>
        </w:rPr>
        <w:t>63.66分，评价等级为“及格”。其中：项目投入指标得分14.00分，过程指标得分14.50分，产出指标得分16.62分，效果指标得分18.54分。具体评分结果如下表所示：</w:t>
      </w:r>
    </w:p>
    <w:tbl>
      <w:tblPr>
        <w:tblStyle w:val="a9"/>
        <w:tblW w:w="0" w:type="auto"/>
        <w:jc w:val="center"/>
        <w:tblLook w:val="04A0"/>
      </w:tblPr>
      <w:tblGrid>
        <w:gridCol w:w="1420"/>
        <w:gridCol w:w="1420"/>
        <w:gridCol w:w="1420"/>
        <w:gridCol w:w="1420"/>
        <w:gridCol w:w="1421"/>
        <w:gridCol w:w="1421"/>
      </w:tblGrid>
      <w:tr w:rsidR="00954BE7">
        <w:trPr>
          <w:trHeight w:hRule="exact" w:val="363"/>
          <w:jc w:val="center"/>
        </w:trPr>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指标</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投入</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过程</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产出</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效果</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总分</w:t>
            </w:r>
          </w:p>
        </w:tc>
      </w:tr>
      <w:tr w:rsidR="00954BE7">
        <w:trPr>
          <w:trHeight w:hRule="exact" w:val="397"/>
          <w:jc w:val="center"/>
        </w:trPr>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权重</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16.00</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30.00</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40.00</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100.00</w:t>
            </w:r>
          </w:p>
        </w:tc>
      </w:tr>
      <w:tr w:rsidR="00954BE7">
        <w:trPr>
          <w:trHeight w:hRule="exact" w:val="397"/>
          <w:jc w:val="center"/>
        </w:trPr>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lastRenderedPageBreak/>
              <w:t>得分</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14.50</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16.62</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18.54</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63.66</w:t>
            </w:r>
          </w:p>
        </w:tc>
      </w:tr>
      <w:tr w:rsidR="00954BE7">
        <w:trPr>
          <w:trHeight w:hRule="exact" w:val="397"/>
          <w:jc w:val="center"/>
        </w:trPr>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得分率</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100%</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90.63%</w:t>
            </w:r>
          </w:p>
        </w:tc>
        <w:tc>
          <w:tcPr>
            <w:tcW w:w="1420"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55.40%</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46.35%</w:t>
            </w:r>
          </w:p>
        </w:tc>
        <w:tc>
          <w:tcPr>
            <w:tcW w:w="1421" w:type="dxa"/>
            <w:vAlign w:val="center"/>
          </w:tcPr>
          <w:p w:rsidR="00954BE7" w:rsidRDefault="00491D2E">
            <w:pPr>
              <w:spacing w:line="360" w:lineRule="auto"/>
              <w:jc w:val="center"/>
              <w:rPr>
                <w:rFonts w:asciiTheme="minorEastAsia" w:hAnsiTheme="minorEastAsia" w:cs="宋体"/>
                <w:kern w:val="0"/>
                <w:sz w:val="24"/>
              </w:rPr>
            </w:pPr>
            <w:r>
              <w:rPr>
                <w:rFonts w:asciiTheme="minorEastAsia" w:hAnsiTheme="minorEastAsia" w:cs="宋体" w:hint="eastAsia"/>
                <w:kern w:val="0"/>
                <w:sz w:val="24"/>
              </w:rPr>
              <w:t>63.66%</w:t>
            </w:r>
          </w:p>
        </w:tc>
      </w:tr>
    </w:tbl>
    <w:p w:rsidR="00954BE7" w:rsidRDefault="00491D2E">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（二）评价结论</w:t>
      </w:r>
    </w:p>
    <w:p w:rsidR="00954BE7" w:rsidRDefault="00491D2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评价小组通过到项目单位查看项目申报、评审、公示等资料和抽查项目实施现场评价相结合的方式进行，采用比较法、因素分析法、综合指数评价法和公众评判法对项目绩效情况进行客观评价，基于以上绩效分析和评价结果，可以得出以下评价结论：</w:t>
      </w:r>
    </w:p>
    <w:p w:rsidR="00954BE7" w:rsidRDefault="00491D2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1、2022年度凤凰县环境卫生管理局农村环境治理</w:t>
      </w:r>
      <w:r>
        <w:rPr>
          <w:rFonts w:ascii="宋体" w:eastAsia="宋体" w:hAnsi="宋体" w:cs="宋体" w:hint="eastAsia"/>
          <w:bCs/>
          <w:kern w:val="0"/>
          <w:sz w:val="28"/>
          <w:szCs w:val="28"/>
        </w:rPr>
        <w:t>项目总投入1340.80万元，按合同规定，付合同金额的30%作为预付款，</w:t>
      </w:r>
      <w:r>
        <w:rPr>
          <w:rFonts w:ascii="宋体" w:eastAsia="宋体" w:hAnsi="宋体" w:cs="宋体" w:hint="eastAsia"/>
          <w:kern w:val="0"/>
          <w:sz w:val="28"/>
          <w:szCs w:val="28"/>
        </w:rPr>
        <w:t>剩余70%尾款935.80万元，由湘财预【2022】61号2022年第二批地方政府新增专项债券安排支付。2022年凤凰县农村环境治理项目统筹整合专项资金405.00万元为预付款</w:t>
      </w:r>
      <w:r>
        <w:rPr>
          <w:rFonts w:asciiTheme="minorEastAsia" w:hAnsiTheme="minorEastAsia" w:hint="eastAsia"/>
          <w:sz w:val="28"/>
          <w:szCs w:val="28"/>
        </w:rPr>
        <w:t>，严格按照《湖南省财政衔接推进乡村振兴补助资金管理办法》的要求执行，坚持资金使用规范，严格落实统筹整合资金的申拨、使用审批手续，财政涉农资金为项目实施提供了资金支持。</w:t>
      </w:r>
    </w:p>
    <w:p w:rsidR="00954BE7" w:rsidRDefault="00491D2E">
      <w:pPr>
        <w:spacing w:line="360" w:lineRule="auto"/>
        <w:ind w:firstLineChars="200" w:firstLine="560"/>
        <w:rPr>
          <w:rFonts w:ascii="宋体" w:eastAsia="宋体" w:hAnsi="宋体" w:cs="宋体"/>
          <w:kern w:val="0"/>
          <w:sz w:val="28"/>
          <w:szCs w:val="28"/>
        </w:rPr>
      </w:pPr>
      <w:r>
        <w:rPr>
          <w:rFonts w:asciiTheme="minorEastAsia" w:hAnsiTheme="minorEastAsia" w:hint="eastAsia"/>
          <w:sz w:val="28"/>
          <w:szCs w:val="28"/>
        </w:rPr>
        <w:t>2、项目根据《湖南省财政衔接推进乡村振兴补助资金管理办法》建立了项目资金管理办法等相关制度，并能在项目实施过程中遵照执行。</w:t>
      </w:r>
    </w:p>
    <w:p w:rsidR="00954BE7" w:rsidRDefault="00491D2E">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3、通过现场调查发现，截至2022年12月31日，9小设备已经全部完成采购，因县里硬件设施条件差，9小垃圾转运站均未通电，2022年12月31日前9小设备安装好但无法进行验收测试，随着乡镇硬件设施逐步完善，从2023年2月开始9小设备才陆续进行测试，合格后陆续启用，至2023年9月12日9小设备才全部投入使用。</w:t>
      </w:r>
      <w:r>
        <w:rPr>
          <w:rFonts w:ascii="宋体" w:eastAsia="宋体" w:hAnsi="宋体" w:cs="宋体" w:hint="eastAsia"/>
          <w:bCs/>
          <w:kern w:val="0"/>
          <w:sz w:val="28"/>
          <w:szCs w:val="28"/>
        </w:rPr>
        <w:t>1</w:t>
      </w:r>
      <w:r>
        <w:rPr>
          <w:rFonts w:ascii="宋体" w:eastAsia="宋体" w:hAnsi="宋体" w:cs="宋体" w:hint="eastAsia"/>
          <w:bCs/>
          <w:kern w:val="0"/>
          <w:sz w:val="28"/>
          <w:szCs w:val="28"/>
        </w:rPr>
        <w:lastRenderedPageBreak/>
        <w:t>大高峰大站</w:t>
      </w:r>
      <w:r>
        <w:rPr>
          <w:rFonts w:ascii="宋体" w:eastAsia="宋体" w:hAnsi="宋体" w:cs="宋体" w:hint="eastAsia"/>
          <w:kern w:val="0"/>
          <w:sz w:val="28"/>
          <w:szCs w:val="28"/>
        </w:rPr>
        <w:t>设备因垃圾中转站土建工程未完工，截止绩效评价日，设备未发货，暂未产生效益。</w:t>
      </w:r>
    </w:p>
    <w:p w:rsidR="00954BE7" w:rsidRDefault="00491D2E">
      <w:pPr>
        <w:spacing w:line="360" w:lineRule="auto"/>
        <w:ind w:firstLineChars="100" w:firstLine="280"/>
        <w:rPr>
          <w:rFonts w:ascii="宋体" w:eastAsia="宋体" w:hAnsi="宋体" w:cs="宋体"/>
          <w:kern w:val="0"/>
          <w:sz w:val="28"/>
          <w:szCs w:val="28"/>
        </w:rPr>
      </w:pPr>
      <w:r>
        <w:rPr>
          <w:rFonts w:ascii="宋体" w:eastAsia="宋体" w:hAnsi="宋体" w:cs="宋体" w:hint="eastAsia"/>
          <w:kern w:val="0"/>
          <w:sz w:val="28"/>
          <w:szCs w:val="28"/>
        </w:rPr>
        <w:t>（三）现场绩效评价结果的应用</w:t>
      </w:r>
    </w:p>
    <w:p w:rsidR="00954BE7" w:rsidRDefault="00491D2E">
      <w:pPr>
        <w:spacing w:line="360" w:lineRule="auto"/>
        <w:ind w:firstLine="560"/>
        <w:rPr>
          <w:rFonts w:ascii="宋体" w:eastAsia="宋体" w:hAnsi="宋体" w:cs="宋体"/>
          <w:kern w:val="0"/>
          <w:sz w:val="28"/>
          <w:szCs w:val="28"/>
        </w:rPr>
      </w:pPr>
      <w:r>
        <w:rPr>
          <w:rFonts w:ascii="宋体" w:eastAsia="宋体" w:hAnsi="宋体" w:cs="宋体" w:hint="eastAsia"/>
          <w:kern w:val="0"/>
          <w:sz w:val="28"/>
          <w:szCs w:val="28"/>
        </w:rPr>
        <w:t>1、本次现场绩效评价结果将作为凤凰县财政局和项目单位凤凰县环境卫生管理局建立完善相关管理制度、编制部门预算和安排财政资金的重要依据。</w:t>
      </w:r>
    </w:p>
    <w:p w:rsidR="00954BE7" w:rsidRDefault="00491D2E">
      <w:pPr>
        <w:spacing w:line="360" w:lineRule="auto"/>
        <w:ind w:firstLine="560"/>
        <w:rPr>
          <w:rFonts w:ascii="宋体" w:eastAsia="宋体" w:hAnsi="宋体" w:cs="宋体"/>
          <w:kern w:val="0"/>
          <w:sz w:val="28"/>
          <w:szCs w:val="28"/>
        </w:rPr>
      </w:pPr>
      <w:r>
        <w:rPr>
          <w:rFonts w:ascii="宋体" w:eastAsia="宋体" w:hAnsi="宋体" w:cs="宋体" w:hint="eastAsia"/>
          <w:kern w:val="0"/>
          <w:sz w:val="28"/>
          <w:szCs w:val="28"/>
        </w:rPr>
        <w:t>2、本次绩效评价中出现的问题以及提出的改进和加强项目管理、资金使用效益的措施、建议，凤凰县财政局应督促项目单位整改、落实。</w:t>
      </w:r>
    </w:p>
    <w:p w:rsidR="00954BE7" w:rsidRDefault="00491D2E">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3、本次绩效评价结果将作为今后同类项目的预算安排、立项审批的依据，并按照政府信息公开有关规定在一定范围内公开。</w:t>
      </w:r>
    </w:p>
    <w:p w:rsidR="00954BE7" w:rsidRDefault="00491D2E">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4、项目单位应当依据项目绩效目标和本次绩效评价结果，及时优化资金支付方向和结构，加强财务管理，提高资金使用效益，建立健全的管理制度，</w:t>
      </w:r>
      <w:r>
        <w:rPr>
          <w:rFonts w:ascii="宋体" w:eastAsia="宋体" w:hAnsi="宋体" w:cs="宋体" w:hint="eastAsia"/>
          <w:bCs/>
          <w:kern w:val="0"/>
          <w:sz w:val="28"/>
          <w:szCs w:val="28"/>
        </w:rPr>
        <w:t>开拓路子，使项目发挥最大的经济效益，向预期目标靠拢，</w:t>
      </w:r>
      <w:r>
        <w:rPr>
          <w:rFonts w:ascii="宋体" w:eastAsia="宋体" w:hAnsi="宋体" w:cs="宋体" w:hint="eastAsia"/>
          <w:kern w:val="0"/>
          <w:sz w:val="28"/>
          <w:szCs w:val="28"/>
        </w:rPr>
        <w:t>及时解决绩效评价中发现的问题，对提出的意见或建议应结合项目需要予以落实，改进工作，保障项目绩效目标能良好实现。</w:t>
      </w:r>
    </w:p>
    <w:p w:rsidR="00954BE7" w:rsidRDefault="00491D2E">
      <w:pPr>
        <w:adjustRightInd w:val="0"/>
        <w:spacing w:line="360" w:lineRule="auto"/>
        <w:ind w:left="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六、主要经验及做法、存在的问题及建议</w:t>
      </w:r>
    </w:p>
    <w:p w:rsidR="00954BE7" w:rsidRDefault="00491D2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（一）主要经验及做法</w:t>
      </w:r>
    </w:p>
    <w:p w:rsidR="00954BE7" w:rsidRDefault="00491D2E">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为确保2022年农村环境治理项目顺利实施，凤凰县环境卫生管理局成立了农村环境治理项目自评工作领导小组，由局长毛子诚任组长，负责项目自评工作的领导和指导；副局长杨明、阙道松任副组长，负责解决工作中突出问题和矛盾；张俊、田瑞、吴红霞为成员，负责</w:t>
      </w:r>
      <w:r>
        <w:rPr>
          <w:rFonts w:asciiTheme="minorEastAsia" w:hAnsiTheme="minorEastAsia" w:hint="eastAsia"/>
          <w:sz w:val="28"/>
          <w:szCs w:val="28"/>
        </w:rPr>
        <w:lastRenderedPageBreak/>
        <w:t>自评工作的具体实施，领导小组办公室设在局项目办。结合实际，遵循科学、客观、实事求是的原则，通过指标核对、实地查看、翻阅账务、浏览文件等方式核实垃圾中转站设备采购和安装情况、核实相关报账资料、报账程序。对2022年4月1日至2022年12月31日期间，农村环境治理项目实施情况，实施年度评价。解决垃圾处理的问题，</w:t>
      </w:r>
      <w:r>
        <w:rPr>
          <w:rFonts w:asciiTheme="minorEastAsia" w:hAnsiTheme="minorEastAsia"/>
          <w:sz w:val="28"/>
          <w:szCs w:val="28"/>
        </w:rPr>
        <w:t>促进了</w:t>
      </w:r>
      <w:r>
        <w:rPr>
          <w:rFonts w:asciiTheme="minorEastAsia" w:hAnsiTheme="minorEastAsia" w:hint="eastAsia"/>
          <w:sz w:val="28"/>
          <w:szCs w:val="28"/>
        </w:rPr>
        <w:t>社会生态</w:t>
      </w:r>
      <w:r>
        <w:rPr>
          <w:rFonts w:asciiTheme="minorEastAsia" w:hAnsiTheme="minorEastAsia"/>
          <w:sz w:val="28"/>
          <w:szCs w:val="28"/>
        </w:rPr>
        <w:t>稳定发展</w:t>
      </w:r>
      <w:r>
        <w:rPr>
          <w:rFonts w:asciiTheme="minorEastAsia" w:hAnsiTheme="minorEastAsia" w:hint="eastAsia"/>
          <w:sz w:val="28"/>
          <w:szCs w:val="28"/>
        </w:rPr>
        <w:t>，对加强城乡环境治理、改善老百姓人居环境起示范带动作用。</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（二）存在的问题</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1、绩效目标编制不合理。</w:t>
      </w:r>
    </w:p>
    <w:p w:rsidR="00954BE7" w:rsidRDefault="00491D2E">
      <w:pPr>
        <w:pStyle w:val="a4"/>
        <w:rPr>
          <w:rFonts w:ascii="宋体" w:hAnsi="宋体"/>
          <w:sz w:val="28"/>
          <w:szCs w:val="28"/>
        </w:rPr>
      </w:pPr>
      <w:r>
        <w:rPr>
          <w:rFonts w:ascii="宋体" w:hAnsi="宋体" w:hint="eastAsia"/>
          <w:sz w:val="28"/>
          <w:szCs w:val="28"/>
        </w:rPr>
        <w:t xml:space="preserve">    </w:t>
      </w:r>
      <w:r>
        <w:rPr>
          <w:rFonts w:ascii="宋体" w:hAnsi="宋体"/>
          <w:sz w:val="28"/>
          <w:szCs w:val="28"/>
        </w:rPr>
        <w:t>预算支出所设定的绩效目标投资额与项目实际情况不匹配，项目《绩效目标申报表》</w:t>
      </w:r>
      <w:r>
        <w:rPr>
          <w:rFonts w:ascii="宋体" w:hAnsi="宋体" w:hint="eastAsia"/>
          <w:sz w:val="28"/>
          <w:szCs w:val="28"/>
        </w:rPr>
        <w:t>中成本指标为405.00</w:t>
      </w:r>
      <w:r>
        <w:rPr>
          <w:rFonts w:ascii="宋体" w:hAnsi="宋体"/>
          <w:sz w:val="28"/>
          <w:szCs w:val="28"/>
        </w:rPr>
        <w:t>万元，而根据《湖南省2021年巩固拓展产业扶贫成果重点项目资金使用方案审批表》，项目计划总投资</w:t>
      </w:r>
      <w:r>
        <w:rPr>
          <w:rFonts w:ascii="宋体" w:hAnsi="宋体" w:hint="eastAsia"/>
          <w:sz w:val="28"/>
          <w:szCs w:val="28"/>
        </w:rPr>
        <w:t>1340.80</w:t>
      </w:r>
      <w:r>
        <w:rPr>
          <w:rFonts w:ascii="宋体" w:hAnsi="宋体"/>
          <w:sz w:val="28"/>
          <w:szCs w:val="28"/>
        </w:rPr>
        <w:t>万元，其中财政</w:t>
      </w:r>
      <w:r>
        <w:rPr>
          <w:rFonts w:ascii="宋体" w:hAnsi="宋体" w:hint="eastAsia"/>
          <w:sz w:val="28"/>
          <w:szCs w:val="28"/>
        </w:rPr>
        <w:t>统筹整合</w:t>
      </w:r>
      <w:r>
        <w:rPr>
          <w:rFonts w:ascii="宋体" w:hAnsi="宋体"/>
          <w:sz w:val="28"/>
          <w:szCs w:val="28"/>
        </w:rPr>
        <w:t>资金</w:t>
      </w:r>
      <w:r>
        <w:rPr>
          <w:rFonts w:ascii="宋体" w:hAnsi="宋体" w:hint="eastAsia"/>
          <w:sz w:val="28"/>
          <w:szCs w:val="28"/>
        </w:rPr>
        <w:t>405.00</w:t>
      </w:r>
      <w:r>
        <w:rPr>
          <w:rFonts w:ascii="宋体" w:hAnsi="宋体"/>
          <w:sz w:val="28"/>
          <w:szCs w:val="28"/>
        </w:rPr>
        <w:t>万元，</w:t>
      </w:r>
      <w:r>
        <w:rPr>
          <w:rFonts w:ascii="宋体" w:hAnsi="宋体" w:hint="eastAsia"/>
          <w:sz w:val="28"/>
          <w:szCs w:val="28"/>
        </w:rPr>
        <w:t>专项债券</w:t>
      </w:r>
      <w:r>
        <w:rPr>
          <w:rFonts w:ascii="宋体" w:hAnsi="宋体"/>
          <w:sz w:val="28"/>
          <w:szCs w:val="28"/>
        </w:rPr>
        <w:t>资金</w:t>
      </w:r>
      <w:r>
        <w:rPr>
          <w:rFonts w:ascii="宋体" w:hAnsi="宋体" w:hint="eastAsia"/>
          <w:sz w:val="28"/>
          <w:szCs w:val="28"/>
        </w:rPr>
        <w:t>935.80</w:t>
      </w:r>
      <w:r>
        <w:rPr>
          <w:rFonts w:ascii="宋体" w:hAnsi="宋体"/>
          <w:sz w:val="28"/>
          <w:szCs w:val="28"/>
        </w:rPr>
        <w:t>万元</w:t>
      </w:r>
      <w:r>
        <w:rPr>
          <w:rFonts w:ascii="宋体" w:hAnsi="宋体" w:hint="eastAsia"/>
          <w:sz w:val="28"/>
          <w:szCs w:val="28"/>
        </w:rPr>
        <w:t>，设置的成本指标与项目计划总投资不符</w:t>
      </w:r>
      <w:r>
        <w:rPr>
          <w:rFonts w:ascii="宋体" w:hAnsi="宋体"/>
          <w:sz w:val="28"/>
          <w:szCs w:val="28"/>
        </w:rPr>
        <w:t>。</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2、项目前期调查论证工作不扎实，项目实施条件不成熟。</w:t>
      </w:r>
    </w:p>
    <w:p w:rsidR="00954BE7" w:rsidRDefault="00491D2E">
      <w:pPr>
        <w:pStyle w:val="2"/>
        <w:rPr>
          <w:rFonts w:ascii="宋体" w:eastAsiaTheme="minorEastAsia" w:hAnsi="宋体"/>
          <w:sz w:val="28"/>
          <w:szCs w:val="28"/>
        </w:rPr>
      </w:pPr>
      <w:bookmarkStart w:id="2" w:name="_GoBack"/>
      <w:r>
        <w:rPr>
          <w:rFonts w:ascii="宋体" w:eastAsiaTheme="minorEastAsia" w:hAnsi="宋体" w:hint="eastAsia"/>
          <w:sz w:val="28"/>
          <w:szCs w:val="28"/>
        </w:rPr>
        <w:t>项目实施的设备采购合同签订于2021年8月16日，2022年4月项目开始实施，项目建设期2022年4月1日至2022年12月31日。9小设备于2023年2月-2023年9月才陆续投入使用，但截止评价日，1大设备转运站土建工程还尚未完工，至目前为止，项目完成时间还无法预估，也没有完成项目的办法和措施。</w:t>
      </w:r>
    </w:p>
    <w:bookmarkEnd w:id="2"/>
    <w:p w:rsidR="00954BE7" w:rsidRDefault="00491D2E">
      <w:pPr>
        <w:spacing w:line="20" w:lineRule="atLeast"/>
        <w:ind w:firstLineChars="200" w:firstLine="560"/>
        <w:rPr>
          <w:rFonts w:ascii="宋体" w:hAnsi="宋体"/>
          <w:sz w:val="28"/>
          <w:szCs w:val="28"/>
        </w:rPr>
      </w:pPr>
      <w:r>
        <w:rPr>
          <w:rFonts w:ascii="宋体" w:hAnsi="宋体" w:hint="eastAsia"/>
          <w:sz w:val="28"/>
          <w:szCs w:val="28"/>
        </w:rPr>
        <w:t>3、项目执行工作衔接不到位，项目执行未有有效的绩效监控措施，导致项目效益未达到预期目标。</w:t>
      </w:r>
    </w:p>
    <w:p w:rsidR="00954BE7" w:rsidRDefault="00491D2E">
      <w:pPr>
        <w:spacing w:line="20" w:lineRule="atLeast"/>
        <w:ind w:firstLineChars="200" w:firstLine="560"/>
        <w:rPr>
          <w:rFonts w:ascii="宋体" w:eastAsia="宋体" w:hAnsi="宋体" w:cs="宋体"/>
          <w:bCs/>
          <w:kern w:val="0"/>
          <w:sz w:val="28"/>
          <w:szCs w:val="28"/>
        </w:rPr>
      </w:pPr>
      <w:r>
        <w:rPr>
          <w:rFonts w:ascii="宋体" w:hAnsi="宋体" w:hint="eastAsia"/>
          <w:sz w:val="28"/>
          <w:szCs w:val="28"/>
        </w:rPr>
        <w:lastRenderedPageBreak/>
        <w:t>经调查发现，与项目关联的其他单位工作协调落实不到位，关联单位没有及时完善硬件设施，无法实现绩效目标。2022年12月31日前9小转运站设备安装完毕，由于住建局负责实施的水电基础设施建设尚未完成，无法按时进行设备测试和使用；截止评价日，由住建局负责实施的1大转运站土建工程项目尚未完工，设备无法发货和安装使用，导致了9小项目效益产出滞后，1大尚未产生效益，</w:t>
      </w:r>
      <w:r>
        <w:rPr>
          <w:rFonts w:ascii="宋体" w:eastAsia="宋体" w:hAnsi="宋体" w:cs="宋体" w:hint="eastAsia"/>
          <w:bCs/>
          <w:kern w:val="0"/>
          <w:sz w:val="28"/>
          <w:szCs w:val="28"/>
        </w:rPr>
        <w:t>导致项目效益</w:t>
      </w:r>
      <w:r>
        <w:rPr>
          <w:rFonts w:ascii="宋体" w:eastAsia="宋体" w:hAnsi="宋体" w:cs="宋体" w:hint="eastAsia"/>
          <w:kern w:val="0"/>
          <w:sz w:val="28"/>
          <w:szCs w:val="28"/>
        </w:rPr>
        <w:t>未达到项目预期目标</w:t>
      </w:r>
      <w:r>
        <w:rPr>
          <w:rFonts w:ascii="宋体" w:eastAsia="宋体" w:hAnsi="宋体" w:cs="宋体" w:hint="eastAsia"/>
          <w:bCs/>
          <w:kern w:val="0"/>
          <w:sz w:val="28"/>
          <w:szCs w:val="28"/>
        </w:rPr>
        <w:t>。到目前为止，项目实施单位对于1大设备未安装并投入使用，没有有效的解决办法和相关的措施。</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4、项目验收程序不规范。</w:t>
      </w:r>
    </w:p>
    <w:p w:rsidR="00954BE7" w:rsidRDefault="00491D2E">
      <w:pPr>
        <w:spacing w:line="20" w:lineRule="atLeast"/>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经</w:t>
      </w:r>
      <w:r>
        <w:rPr>
          <w:rFonts w:ascii="宋体" w:eastAsia="宋体" w:hAnsi="宋体" w:cs="宋体"/>
          <w:bCs/>
          <w:kern w:val="0"/>
          <w:sz w:val="28"/>
          <w:szCs w:val="28"/>
        </w:rPr>
        <w:t>查看项目</w:t>
      </w:r>
      <w:r>
        <w:rPr>
          <w:rFonts w:ascii="宋体" w:eastAsia="宋体" w:hAnsi="宋体" w:cs="宋体" w:hint="eastAsia"/>
          <w:bCs/>
          <w:kern w:val="0"/>
          <w:sz w:val="28"/>
          <w:szCs w:val="28"/>
        </w:rPr>
        <w:t>验收的相关资料，发现9小设备于2022年12月安装完成，因9小转运站基础设施未完善，并未进行设备通电测试，未经调试设备的效能，于2022年12月20日经凤凰县环境卫生管理局和长沙中联重科环境产业有限公司联合验收合格，签署销售发货产品合格签收单和产品验收交接单。</w:t>
      </w:r>
    </w:p>
    <w:p w:rsidR="00954BE7" w:rsidRDefault="00491D2E">
      <w:pPr>
        <w:spacing w:line="20" w:lineRule="atLeast"/>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5、项目未严格按照合同规定执行。</w:t>
      </w:r>
    </w:p>
    <w:p w:rsidR="00954BE7" w:rsidRDefault="00491D2E">
      <w:pPr>
        <w:spacing w:line="20" w:lineRule="atLeast"/>
        <w:ind w:firstLineChars="200" w:firstLine="560"/>
        <w:rPr>
          <w:rFonts w:ascii="宋体" w:eastAsia="宋体" w:hAnsi="宋体" w:cs="宋体"/>
          <w:kern w:val="0"/>
          <w:sz w:val="28"/>
          <w:szCs w:val="28"/>
          <w:highlight w:val="yellow"/>
        </w:rPr>
      </w:pPr>
      <w:r>
        <w:rPr>
          <w:rFonts w:ascii="宋体" w:eastAsia="宋体" w:hAnsi="宋体" w:cs="宋体" w:hint="eastAsia"/>
          <w:kern w:val="0"/>
          <w:sz w:val="28"/>
          <w:szCs w:val="28"/>
        </w:rPr>
        <w:t>项目总投入1340.80万元，项目执行期限为2022年4月1日至12月31日，按照合同规定，签订合同7个工作日内付合同总额的30%作预付款保障设备的发货与安装，</w:t>
      </w:r>
      <w:r>
        <w:rPr>
          <w:rFonts w:ascii="宋体" w:eastAsia="宋体" w:hAnsi="宋体" w:cs="宋体" w:hint="eastAsia"/>
          <w:bCs/>
          <w:kern w:val="0"/>
          <w:sz w:val="28"/>
          <w:szCs w:val="28"/>
        </w:rPr>
        <w:t>合同总金额1340.80万元的30%应为402.24万元，项目实际支付405万元，超出合同约定金额2.76万元。</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（三）相关的建议</w:t>
      </w:r>
    </w:p>
    <w:p w:rsidR="00954BE7" w:rsidRDefault="00491D2E">
      <w:pPr>
        <w:pStyle w:val="a4"/>
        <w:spacing w:after="0"/>
        <w:ind w:firstLineChars="200" w:firstLine="560"/>
        <w:rPr>
          <w:rFonts w:ascii="宋体" w:hAnsi="宋体"/>
          <w:sz w:val="28"/>
          <w:szCs w:val="28"/>
        </w:rPr>
      </w:pPr>
      <w:r>
        <w:rPr>
          <w:rFonts w:ascii="宋体" w:hAnsi="宋体" w:hint="eastAsia"/>
          <w:sz w:val="28"/>
          <w:szCs w:val="28"/>
        </w:rPr>
        <w:t>1、</w:t>
      </w:r>
      <w:bookmarkStart w:id="3" w:name="_Toc5544"/>
      <w:bookmarkStart w:id="4" w:name="_Toc19979"/>
      <w:r>
        <w:rPr>
          <w:rFonts w:ascii="宋体" w:hAnsi="宋体"/>
          <w:sz w:val="28"/>
          <w:szCs w:val="28"/>
        </w:rPr>
        <w:t>强化绩效目标设定</w:t>
      </w:r>
      <w:bookmarkEnd w:id="3"/>
      <w:bookmarkEnd w:id="4"/>
    </w:p>
    <w:p w:rsidR="00954BE7" w:rsidRDefault="00491D2E">
      <w:pPr>
        <w:pStyle w:val="2"/>
        <w:rPr>
          <w:rFonts w:ascii="宋体" w:hAnsi="宋体"/>
          <w:sz w:val="28"/>
          <w:szCs w:val="28"/>
        </w:rPr>
      </w:pPr>
      <w:r>
        <w:rPr>
          <w:rFonts w:ascii="宋体" w:eastAsiaTheme="minorEastAsia" w:hAnsi="宋体"/>
          <w:sz w:val="28"/>
          <w:szCs w:val="28"/>
        </w:rPr>
        <w:lastRenderedPageBreak/>
        <w:t>强化目标管理，注重</w:t>
      </w:r>
      <w:r>
        <w:rPr>
          <w:rFonts w:ascii="宋体" w:eastAsiaTheme="minorEastAsia" w:hAnsi="宋体" w:hint="eastAsia"/>
          <w:sz w:val="28"/>
          <w:szCs w:val="28"/>
        </w:rPr>
        <w:t>农村环境治理项目</w:t>
      </w:r>
      <w:r>
        <w:rPr>
          <w:rFonts w:ascii="宋体" w:eastAsiaTheme="minorEastAsia" w:hAnsi="宋体"/>
          <w:sz w:val="28"/>
          <w:szCs w:val="28"/>
        </w:rPr>
        <w:t>成果绩效目标实现程度，聚焦乡村振兴战略。按照</w:t>
      </w:r>
      <w:r>
        <w:rPr>
          <w:rFonts w:ascii="宋体" w:eastAsiaTheme="minorEastAsia" w:hAnsi="宋体" w:hint="eastAsia"/>
          <w:sz w:val="28"/>
          <w:szCs w:val="28"/>
        </w:rPr>
        <w:t>“</w:t>
      </w:r>
      <w:r>
        <w:rPr>
          <w:rFonts w:ascii="宋体" w:eastAsiaTheme="minorEastAsia" w:hAnsi="宋体"/>
          <w:sz w:val="28"/>
          <w:szCs w:val="28"/>
        </w:rPr>
        <w:t>谁申请资金、谁设定目标</w:t>
      </w:r>
      <w:r>
        <w:rPr>
          <w:rFonts w:ascii="宋体" w:eastAsiaTheme="minorEastAsia" w:hAnsi="宋体" w:hint="eastAsia"/>
          <w:sz w:val="28"/>
          <w:szCs w:val="28"/>
        </w:rPr>
        <w:t>”</w:t>
      </w:r>
      <w:r>
        <w:rPr>
          <w:rFonts w:ascii="宋体" w:eastAsiaTheme="minorEastAsia" w:hAnsi="宋体"/>
          <w:sz w:val="28"/>
          <w:szCs w:val="28"/>
        </w:rPr>
        <w:t>的原则，项目主管单位和实施单位作为项目绩效设定主体，细化、量化绩效目标设定，做到指向明确、具体细化、合理可行。</w:t>
      </w:r>
    </w:p>
    <w:p w:rsidR="00954BE7" w:rsidRDefault="00491D2E">
      <w:pPr>
        <w:numPr>
          <w:ilvl w:val="0"/>
          <w:numId w:val="3"/>
        </w:numPr>
        <w:spacing w:line="20" w:lineRule="atLeast"/>
        <w:ind w:firstLineChars="200" w:firstLine="560"/>
        <w:rPr>
          <w:rFonts w:ascii="宋体" w:hAnsi="宋体"/>
          <w:sz w:val="28"/>
          <w:szCs w:val="28"/>
        </w:rPr>
      </w:pPr>
      <w:r>
        <w:rPr>
          <w:rFonts w:ascii="宋体" w:hAnsi="宋体" w:hint="eastAsia"/>
          <w:sz w:val="28"/>
          <w:szCs w:val="28"/>
        </w:rPr>
        <w:t>加强项目前期考察论证及协调工作，保障项目完成质量和效果。</w:t>
      </w:r>
    </w:p>
    <w:p w:rsidR="00954BE7" w:rsidRDefault="00491D2E">
      <w:pPr>
        <w:pStyle w:val="2"/>
        <w:ind w:firstLineChars="200" w:firstLine="560"/>
        <w:rPr>
          <w:rFonts w:ascii="宋体" w:eastAsiaTheme="minorEastAsia" w:hAnsi="宋体"/>
          <w:sz w:val="28"/>
          <w:szCs w:val="28"/>
        </w:rPr>
      </w:pPr>
      <w:r>
        <w:rPr>
          <w:rFonts w:ascii="宋体" w:eastAsiaTheme="minorEastAsia" w:hAnsi="宋体" w:hint="eastAsia"/>
          <w:sz w:val="28"/>
          <w:szCs w:val="28"/>
        </w:rPr>
        <w:t>项目实施前期，应进行项目实施条件考察，对基础配套设施、建设场地、运输条件、设备供应等前期衔接工作落实到位，制定切实有效的实施方案，保障项目顺利实施并按期完成，产出效益。</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3、项目应严格执行项目计划，并在实施过程中进行有效绩效监控，项目成果要及时产出效益。</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项目单位应积极协调解决项目未能顺利完成且产生效益的原因，落实相关协调措施，限期让项目顺利完成。实施过程中必须全程跟踪监督，健全工作责任机制，加强绩效监控，在项目执行的过程中遇到的问题要有预案和解决问题的方法和措施。若项目实施牵扯到其他部门的关联工作，各部门努力协调沟通和召开项目现场会的有效方式，制定相关措施。</w:t>
      </w:r>
      <w:r>
        <w:rPr>
          <w:rFonts w:ascii="宋体" w:eastAsia="宋体" w:hAnsi="宋体" w:cs="宋体" w:hint="eastAsia"/>
          <w:bCs/>
          <w:kern w:val="0"/>
          <w:sz w:val="28"/>
          <w:szCs w:val="28"/>
        </w:rPr>
        <w:t>项目实施单位可以将由于住建局基础设施和土建工程未完成，使得9小设备</w:t>
      </w:r>
      <w:r>
        <w:rPr>
          <w:rFonts w:asciiTheme="minorEastAsia" w:hAnsiTheme="minorEastAsia" w:hint="eastAsia"/>
          <w:sz w:val="28"/>
          <w:szCs w:val="28"/>
        </w:rPr>
        <w:t>无法通电测试和1大设备无法安装并投入使用的问题，向上级汇报，积极组织召开领导办公协调会议，明确责任，制定相关解决措施，限期完成</w:t>
      </w:r>
      <w:r>
        <w:rPr>
          <w:rFonts w:ascii="宋体" w:eastAsia="宋体" w:hAnsi="宋体" w:cs="宋体" w:hint="eastAsia"/>
          <w:bCs/>
          <w:kern w:val="0"/>
          <w:sz w:val="28"/>
          <w:szCs w:val="28"/>
        </w:rPr>
        <w:t>，</w:t>
      </w:r>
      <w:r>
        <w:rPr>
          <w:rFonts w:asciiTheme="minorEastAsia" w:hAnsiTheme="minorEastAsia" w:hint="eastAsia"/>
          <w:sz w:val="28"/>
          <w:szCs w:val="28"/>
        </w:rPr>
        <w:t>最大程度的降低项目风险，提高项目的可控性和执行效率，使项目能够快速投入使用，从而</w:t>
      </w:r>
      <w:r>
        <w:rPr>
          <w:rFonts w:ascii="宋体" w:hAnsi="宋体" w:hint="eastAsia"/>
          <w:sz w:val="28"/>
          <w:szCs w:val="28"/>
        </w:rPr>
        <w:t>尽早产生效益，提高生产生活环境，让群众早日得到实惠。</w:t>
      </w:r>
    </w:p>
    <w:p w:rsidR="00954BE7" w:rsidRDefault="00491D2E">
      <w:pPr>
        <w:pStyle w:val="3"/>
        <w:keepNext w:val="0"/>
        <w:widowControl/>
        <w:ind w:firstLine="643"/>
        <w:rPr>
          <w:rFonts w:ascii="宋体" w:hAnsi="宋体"/>
          <w:sz w:val="28"/>
          <w:szCs w:val="28"/>
        </w:rPr>
      </w:pPr>
      <w:r>
        <w:rPr>
          <w:rFonts w:ascii="宋体" w:hAnsi="宋体" w:hint="eastAsia"/>
          <w:sz w:val="28"/>
          <w:szCs w:val="28"/>
        </w:rPr>
        <w:lastRenderedPageBreak/>
        <w:t>4、</w:t>
      </w:r>
      <w:r>
        <w:rPr>
          <w:rFonts w:ascii="宋体" w:hAnsi="宋体"/>
          <w:sz w:val="28"/>
          <w:szCs w:val="28"/>
        </w:rPr>
        <w:t>加强项目验收程序管理</w:t>
      </w:r>
    </w:p>
    <w:p w:rsidR="00954BE7" w:rsidRDefault="00491D2E">
      <w:pPr>
        <w:spacing w:line="360" w:lineRule="auto"/>
        <w:ind w:firstLineChars="200" w:firstLine="560"/>
        <w:rPr>
          <w:rFonts w:ascii="宋体" w:hAnsi="宋体"/>
          <w:sz w:val="28"/>
          <w:szCs w:val="28"/>
        </w:rPr>
      </w:pPr>
      <w:r>
        <w:rPr>
          <w:rFonts w:ascii="宋体" w:eastAsia="宋体" w:hAnsi="宋体" w:cs="宋体"/>
          <w:bCs/>
          <w:kern w:val="0"/>
          <w:sz w:val="28"/>
          <w:szCs w:val="28"/>
        </w:rPr>
        <w:t>加强对建设项目的监督管理，遵循实施建设项目流程来安排工作，</w:t>
      </w:r>
      <w:r>
        <w:rPr>
          <w:rFonts w:ascii="宋体" w:eastAsia="宋体" w:hAnsi="宋体" w:cs="宋体" w:hint="eastAsia"/>
          <w:bCs/>
          <w:kern w:val="0"/>
          <w:sz w:val="28"/>
          <w:szCs w:val="28"/>
        </w:rPr>
        <w:t>验收时应严格按照项目购置的清单核对设备的规格型号，对未达到合同要求的设备，不予验收并要求整改到位。按照合同规定，设备安装后要经调试阶段，调试完成确定能够投入使用后，才能执行验收相关程序，否则，不予验收。</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5、加强项目资金管理，严格按照合同执行。</w:t>
      </w:r>
    </w:p>
    <w:p w:rsidR="00954BE7" w:rsidRDefault="00491D2E">
      <w:pPr>
        <w:spacing w:line="20" w:lineRule="atLeast"/>
        <w:ind w:firstLineChars="200" w:firstLine="560"/>
        <w:rPr>
          <w:rFonts w:ascii="宋体" w:hAnsi="宋体"/>
          <w:sz w:val="28"/>
          <w:szCs w:val="28"/>
        </w:rPr>
      </w:pPr>
      <w:r>
        <w:rPr>
          <w:rFonts w:ascii="宋体" w:hAnsi="宋体" w:hint="eastAsia"/>
          <w:sz w:val="28"/>
          <w:szCs w:val="28"/>
        </w:rPr>
        <w:t>严格执行合同，明确合同双方的权利和义务，严格按照合同规定支付项目资金，按合同约定的进度和金额支付项目款项，防止多付、少付、应付未付的情况发生。</w:t>
      </w:r>
    </w:p>
    <w:p w:rsidR="00954BE7" w:rsidRDefault="00954BE7">
      <w:pPr>
        <w:spacing w:line="360" w:lineRule="auto"/>
        <w:jc w:val="left"/>
        <w:rPr>
          <w:rFonts w:asciiTheme="minorEastAsia" w:hAnsiTheme="minorEastAsia"/>
          <w:sz w:val="28"/>
          <w:szCs w:val="28"/>
        </w:rPr>
      </w:pPr>
    </w:p>
    <w:p w:rsidR="00954BE7" w:rsidRDefault="00954BE7">
      <w:pPr>
        <w:spacing w:line="360" w:lineRule="auto"/>
        <w:rPr>
          <w:rFonts w:asciiTheme="minorEastAsia" w:hAnsiTheme="minorEastAsia"/>
          <w:sz w:val="28"/>
          <w:szCs w:val="28"/>
        </w:rPr>
      </w:pPr>
    </w:p>
    <w:p w:rsidR="00954BE7" w:rsidRDefault="00954BE7">
      <w:pPr>
        <w:spacing w:line="360" w:lineRule="auto"/>
        <w:rPr>
          <w:rFonts w:asciiTheme="minorEastAsia" w:hAnsiTheme="minorEastAsia"/>
          <w:sz w:val="28"/>
          <w:szCs w:val="28"/>
        </w:rPr>
      </w:pPr>
    </w:p>
    <w:p w:rsidR="00954BE7" w:rsidRDefault="00954BE7">
      <w:pPr>
        <w:spacing w:line="360" w:lineRule="auto"/>
        <w:rPr>
          <w:rFonts w:asciiTheme="minorEastAsia" w:hAnsiTheme="minorEastAsia"/>
          <w:sz w:val="28"/>
          <w:szCs w:val="28"/>
        </w:rPr>
      </w:pPr>
    </w:p>
    <w:p w:rsidR="00954BE7" w:rsidRDefault="00954BE7">
      <w:pPr>
        <w:spacing w:line="360" w:lineRule="auto"/>
      </w:pPr>
    </w:p>
    <w:sectPr w:rsidR="00954BE7" w:rsidSect="00954BE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81" w:rsidRDefault="00195381" w:rsidP="00954BE7">
      <w:r>
        <w:separator/>
      </w:r>
    </w:p>
  </w:endnote>
  <w:endnote w:type="continuationSeparator" w:id="0">
    <w:p w:rsidR="00195381" w:rsidRDefault="00195381" w:rsidP="00954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E7" w:rsidRDefault="00777FFD">
    <w:pPr>
      <w:pStyle w:val="a7"/>
    </w:pPr>
    <w:r>
      <w:pict>
        <v:shapetype id="_x0000_t202" coordsize="21600,21600" o:spt="202" path="m,l,21600r21600,l21600,xe">
          <v:stroke joinstyle="miter"/>
          <v:path gradientshapeok="t" o:connecttype="rect"/>
        </v:shapetype>
        <v:shape id="_x0000_s4109" type="#_x0000_t202" style="position:absolute;margin-left:0;margin-top:0;width:2in;height:2in;z-index:251661312;mso-wrap-style:none;mso-position-horizontal:center;mso-position-horizontal-relative:margin" filled="f" stroked="f">
          <v:textbox style="mso-fit-shape-to-text:t" inset="0,0,0,0">
            <w:txbxContent>
              <w:p w:rsidR="00954BE7" w:rsidRDefault="00777FFD">
                <w:pPr>
                  <w:pStyle w:val="a7"/>
                </w:pPr>
                <w:r>
                  <w:fldChar w:fldCharType="begin"/>
                </w:r>
                <w:r w:rsidR="00491D2E">
                  <w:instrText xml:space="preserve"> PAGE  \* MERGEFORMAT </w:instrText>
                </w:r>
                <w:r>
                  <w:fldChar w:fldCharType="separate"/>
                </w:r>
                <w:r w:rsidR="00F456FD">
                  <w:rPr>
                    <w:noProof/>
                  </w:rPr>
                  <w:t>14</w:t>
                </w:r>
                <w:r>
                  <w:fldChar w:fldCharType="end"/>
                </w:r>
              </w:p>
            </w:txbxContent>
          </v:textbox>
          <w10:wrap anchorx="margin"/>
        </v:shape>
      </w:pict>
    </w:r>
  </w:p>
  <w:p w:rsidR="00954BE7" w:rsidRDefault="00954B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81" w:rsidRDefault="00195381" w:rsidP="00954BE7">
      <w:r>
        <w:separator/>
      </w:r>
    </w:p>
  </w:footnote>
  <w:footnote w:type="continuationSeparator" w:id="0">
    <w:p w:rsidR="00195381" w:rsidRDefault="00195381" w:rsidP="00954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46908F"/>
    <w:multiLevelType w:val="singleLevel"/>
    <w:tmpl w:val="EF46908F"/>
    <w:lvl w:ilvl="0">
      <w:start w:val="2"/>
      <w:numFmt w:val="decimal"/>
      <w:suff w:val="nothing"/>
      <w:lvlText w:val="%1、"/>
      <w:lvlJc w:val="left"/>
    </w:lvl>
  </w:abstractNum>
  <w:abstractNum w:abstractNumId="1">
    <w:nsid w:val="0D138A87"/>
    <w:multiLevelType w:val="singleLevel"/>
    <w:tmpl w:val="0D138A87"/>
    <w:lvl w:ilvl="0">
      <w:start w:val="2"/>
      <w:numFmt w:val="chineseCounting"/>
      <w:suff w:val="nothing"/>
      <w:lvlText w:val="%1、"/>
      <w:lvlJc w:val="left"/>
      <w:rPr>
        <w:rFonts w:hint="eastAsia"/>
      </w:rPr>
    </w:lvl>
  </w:abstractNum>
  <w:abstractNum w:abstractNumId="2">
    <w:nsid w:val="76752642"/>
    <w:multiLevelType w:val="multilevel"/>
    <w:tmpl w:val="76752642"/>
    <w:lvl w:ilvl="0">
      <w:start w:val="1"/>
      <w:numFmt w:val="decimal"/>
      <w:pStyle w:val="6"/>
      <w:lvlText w:val="（%1）"/>
      <w:lvlJc w:val="left"/>
      <w:pPr>
        <w:ind w:left="1312" w:hanging="75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EyMDBhMmNmOWRhMzliYjA0YzlhZDUzYTI3N2ZhZDAifQ=="/>
  </w:docVars>
  <w:rsids>
    <w:rsidRoot w:val="307B1704"/>
    <w:rsid w:val="00000E68"/>
    <w:rsid w:val="00004E34"/>
    <w:rsid w:val="000228E8"/>
    <w:rsid w:val="00022B75"/>
    <w:rsid w:val="00032DC2"/>
    <w:rsid w:val="00033E3B"/>
    <w:rsid w:val="00055B3C"/>
    <w:rsid w:val="000572F2"/>
    <w:rsid w:val="00093C45"/>
    <w:rsid w:val="000B599B"/>
    <w:rsid w:val="000C091A"/>
    <w:rsid w:val="000D0FB3"/>
    <w:rsid w:val="000D3A44"/>
    <w:rsid w:val="000E22F0"/>
    <w:rsid w:val="000F1B0A"/>
    <w:rsid w:val="001016A5"/>
    <w:rsid w:val="0011760F"/>
    <w:rsid w:val="00175D78"/>
    <w:rsid w:val="00180B95"/>
    <w:rsid w:val="00184949"/>
    <w:rsid w:val="001927A3"/>
    <w:rsid w:val="00195381"/>
    <w:rsid w:val="001A0655"/>
    <w:rsid w:val="001A0C01"/>
    <w:rsid w:val="001A5B66"/>
    <w:rsid w:val="001B0E37"/>
    <w:rsid w:val="001D4134"/>
    <w:rsid w:val="001D5E4A"/>
    <w:rsid w:val="001E2202"/>
    <w:rsid w:val="001F02CE"/>
    <w:rsid w:val="001F36FE"/>
    <w:rsid w:val="00202573"/>
    <w:rsid w:val="00205745"/>
    <w:rsid w:val="002058B5"/>
    <w:rsid w:val="00207837"/>
    <w:rsid w:val="00235FAC"/>
    <w:rsid w:val="002433B4"/>
    <w:rsid w:val="00245840"/>
    <w:rsid w:val="00282648"/>
    <w:rsid w:val="002A0852"/>
    <w:rsid w:val="002A166C"/>
    <w:rsid w:val="002B5760"/>
    <w:rsid w:val="002B72C3"/>
    <w:rsid w:val="002D6736"/>
    <w:rsid w:val="00305DE1"/>
    <w:rsid w:val="0030731F"/>
    <w:rsid w:val="003115B3"/>
    <w:rsid w:val="00312F5D"/>
    <w:rsid w:val="00315D76"/>
    <w:rsid w:val="00327670"/>
    <w:rsid w:val="00354122"/>
    <w:rsid w:val="00362362"/>
    <w:rsid w:val="00366D7B"/>
    <w:rsid w:val="003679BD"/>
    <w:rsid w:val="003715A8"/>
    <w:rsid w:val="003943CF"/>
    <w:rsid w:val="003B6EC7"/>
    <w:rsid w:val="003B7A88"/>
    <w:rsid w:val="003D5EB6"/>
    <w:rsid w:val="003D7512"/>
    <w:rsid w:val="003E616B"/>
    <w:rsid w:val="003F4106"/>
    <w:rsid w:val="004110EA"/>
    <w:rsid w:val="00413FF7"/>
    <w:rsid w:val="00441C92"/>
    <w:rsid w:val="00442EA0"/>
    <w:rsid w:val="004678C7"/>
    <w:rsid w:val="00491C0D"/>
    <w:rsid w:val="00491D2E"/>
    <w:rsid w:val="004A0DEE"/>
    <w:rsid w:val="004C2D22"/>
    <w:rsid w:val="004D1230"/>
    <w:rsid w:val="004D4E2E"/>
    <w:rsid w:val="004E034F"/>
    <w:rsid w:val="004E094E"/>
    <w:rsid w:val="00502F72"/>
    <w:rsid w:val="00526C4A"/>
    <w:rsid w:val="005300B7"/>
    <w:rsid w:val="00532D1E"/>
    <w:rsid w:val="0054709A"/>
    <w:rsid w:val="00582497"/>
    <w:rsid w:val="00597986"/>
    <w:rsid w:val="005A2159"/>
    <w:rsid w:val="005C5565"/>
    <w:rsid w:val="005E5CDB"/>
    <w:rsid w:val="005F1920"/>
    <w:rsid w:val="005F19FF"/>
    <w:rsid w:val="005F1E22"/>
    <w:rsid w:val="005F2E0E"/>
    <w:rsid w:val="005F3971"/>
    <w:rsid w:val="00600AE6"/>
    <w:rsid w:val="00603717"/>
    <w:rsid w:val="0060479D"/>
    <w:rsid w:val="00611512"/>
    <w:rsid w:val="00614FA4"/>
    <w:rsid w:val="00615A9A"/>
    <w:rsid w:val="00617DBA"/>
    <w:rsid w:val="006232FC"/>
    <w:rsid w:val="00634F18"/>
    <w:rsid w:val="006358D9"/>
    <w:rsid w:val="00636AC9"/>
    <w:rsid w:val="00640BB1"/>
    <w:rsid w:val="0064119D"/>
    <w:rsid w:val="0064362E"/>
    <w:rsid w:val="00644B0E"/>
    <w:rsid w:val="0066284E"/>
    <w:rsid w:val="006705A6"/>
    <w:rsid w:val="00677DFF"/>
    <w:rsid w:val="00696A75"/>
    <w:rsid w:val="006A1F04"/>
    <w:rsid w:val="006B0804"/>
    <w:rsid w:val="006C251E"/>
    <w:rsid w:val="006F69BB"/>
    <w:rsid w:val="007176FE"/>
    <w:rsid w:val="0072697C"/>
    <w:rsid w:val="007269FC"/>
    <w:rsid w:val="0074294D"/>
    <w:rsid w:val="00744975"/>
    <w:rsid w:val="00754470"/>
    <w:rsid w:val="00774060"/>
    <w:rsid w:val="00777FFD"/>
    <w:rsid w:val="00794138"/>
    <w:rsid w:val="007A3234"/>
    <w:rsid w:val="007A5CDB"/>
    <w:rsid w:val="007B0F50"/>
    <w:rsid w:val="007B13D2"/>
    <w:rsid w:val="007F58AC"/>
    <w:rsid w:val="0080701E"/>
    <w:rsid w:val="00816455"/>
    <w:rsid w:val="00844FB6"/>
    <w:rsid w:val="008458AD"/>
    <w:rsid w:val="00851F5A"/>
    <w:rsid w:val="00872B12"/>
    <w:rsid w:val="0088171C"/>
    <w:rsid w:val="00882DED"/>
    <w:rsid w:val="008848A5"/>
    <w:rsid w:val="00887848"/>
    <w:rsid w:val="00896DF9"/>
    <w:rsid w:val="008D7C71"/>
    <w:rsid w:val="008D7D49"/>
    <w:rsid w:val="008F64BB"/>
    <w:rsid w:val="00915D06"/>
    <w:rsid w:val="009355DB"/>
    <w:rsid w:val="00954BE7"/>
    <w:rsid w:val="00973CA0"/>
    <w:rsid w:val="00975BF8"/>
    <w:rsid w:val="00976C71"/>
    <w:rsid w:val="00982F0A"/>
    <w:rsid w:val="009A7DE3"/>
    <w:rsid w:val="009C221C"/>
    <w:rsid w:val="009E4CF3"/>
    <w:rsid w:val="009F2E6D"/>
    <w:rsid w:val="009F655C"/>
    <w:rsid w:val="00A12791"/>
    <w:rsid w:val="00A17F2C"/>
    <w:rsid w:val="00A2574F"/>
    <w:rsid w:val="00A5018E"/>
    <w:rsid w:val="00A955DE"/>
    <w:rsid w:val="00AB29EB"/>
    <w:rsid w:val="00AD073E"/>
    <w:rsid w:val="00AE2FD6"/>
    <w:rsid w:val="00AE3C5E"/>
    <w:rsid w:val="00AE5B1B"/>
    <w:rsid w:val="00AF7579"/>
    <w:rsid w:val="00B11383"/>
    <w:rsid w:val="00B117A7"/>
    <w:rsid w:val="00B1414F"/>
    <w:rsid w:val="00B178C7"/>
    <w:rsid w:val="00B519B9"/>
    <w:rsid w:val="00B617E8"/>
    <w:rsid w:val="00B7464A"/>
    <w:rsid w:val="00B94A1D"/>
    <w:rsid w:val="00BA5B21"/>
    <w:rsid w:val="00BB6D9B"/>
    <w:rsid w:val="00BC606D"/>
    <w:rsid w:val="00BD1394"/>
    <w:rsid w:val="00BF69C8"/>
    <w:rsid w:val="00C02E80"/>
    <w:rsid w:val="00C03DF0"/>
    <w:rsid w:val="00C171F2"/>
    <w:rsid w:val="00C244BB"/>
    <w:rsid w:val="00C306B8"/>
    <w:rsid w:val="00C30BEF"/>
    <w:rsid w:val="00C37F53"/>
    <w:rsid w:val="00C401BC"/>
    <w:rsid w:val="00C411E2"/>
    <w:rsid w:val="00C44899"/>
    <w:rsid w:val="00C56C6C"/>
    <w:rsid w:val="00C661D0"/>
    <w:rsid w:val="00C906A6"/>
    <w:rsid w:val="00C91875"/>
    <w:rsid w:val="00C96C64"/>
    <w:rsid w:val="00C97509"/>
    <w:rsid w:val="00CA1B06"/>
    <w:rsid w:val="00CB48EA"/>
    <w:rsid w:val="00CC2F9D"/>
    <w:rsid w:val="00CD7563"/>
    <w:rsid w:val="00CF198B"/>
    <w:rsid w:val="00CF6993"/>
    <w:rsid w:val="00D00BB8"/>
    <w:rsid w:val="00D056D5"/>
    <w:rsid w:val="00D07279"/>
    <w:rsid w:val="00D27EE4"/>
    <w:rsid w:val="00D351D0"/>
    <w:rsid w:val="00D46140"/>
    <w:rsid w:val="00D6125B"/>
    <w:rsid w:val="00D87C4C"/>
    <w:rsid w:val="00D93F9A"/>
    <w:rsid w:val="00DA3520"/>
    <w:rsid w:val="00DB334F"/>
    <w:rsid w:val="00DB4A6B"/>
    <w:rsid w:val="00DE03BA"/>
    <w:rsid w:val="00DE6A4A"/>
    <w:rsid w:val="00DF160F"/>
    <w:rsid w:val="00DF3C04"/>
    <w:rsid w:val="00DF68E0"/>
    <w:rsid w:val="00E00DD8"/>
    <w:rsid w:val="00E04AD2"/>
    <w:rsid w:val="00E305F9"/>
    <w:rsid w:val="00E53169"/>
    <w:rsid w:val="00E62B7B"/>
    <w:rsid w:val="00E912CB"/>
    <w:rsid w:val="00EA08A5"/>
    <w:rsid w:val="00EC75B7"/>
    <w:rsid w:val="00ED5520"/>
    <w:rsid w:val="00EE333B"/>
    <w:rsid w:val="00EF1500"/>
    <w:rsid w:val="00F13CF0"/>
    <w:rsid w:val="00F15533"/>
    <w:rsid w:val="00F31223"/>
    <w:rsid w:val="00F456FD"/>
    <w:rsid w:val="00F758D8"/>
    <w:rsid w:val="00F955A9"/>
    <w:rsid w:val="00FA2437"/>
    <w:rsid w:val="00FA4AAF"/>
    <w:rsid w:val="00FB5113"/>
    <w:rsid w:val="00FB7899"/>
    <w:rsid w:val="00FC2AAB"/>
    <w:rsid w:val="00FC7B9B"/>
    <w:rsid w:val="00FD34F4"/>
    <w:rsid w:val="00FD7A4A"/>
    <w:rsid w:val="00FE498B"/>
    <w:rsid w:val="00FE670F"/>
    <w:rsid w:val="00FF55CE"/>
    <w:rsid w:val="0127533C"/>
    <w:rsid w:val="01875DDB"/>
    <w:rsid w:val="01AB4620"/>
    <w:rsid w:val="02011047"/>
    <w:rsid w:val="02313F99"/>
    <w:rsid w:val="029A3B71"/>
    <w:rsid w:val="02D65405"/>
    <w:rsid w:val="02D668F5"/>
    <w:rsid w:val="02F6579D"/>
    <w:rsid w:val="0302642E"/>
    <w:rsid w:val="03095381"/>
    <w:rsid w:val="031D5A21"/>
    <w:rsid w:val="032101FE"/>
    <w:rsid w:val="03AE2A6F"/>
    <w:rsid w:val="03C41DFB"/>
    <w:rsid w:val="03C746C4"/>
    <w:rsid w:val="03F62DA4"/>
    <w:rsid w:val="04E23328"/>
    <w:rsid w:val="05004F97"/>
    <w:rsid w:val="055A62EC"/>
    <w:rsid w:val="055A7ECA"/>
    <w:rsid w:val="05DC1861"/>
    <w:rsid w:val="05E512F4"/>
    <w:rsid w:val="05EC47CC"/>
    <w:rsid w:val="06170F6C"/>
    <w:rsid w:val="065B5A88"/>
    <w:rsid w:val="065F7955"/>
    <w:rsid w:val="067A72FF"/>
    <w:rsid w:val="069B67F7"/>
    <w:rsid w:val="06B62CBE"/>
    <w:rsid w:val="06BE32AD"/>
    <w:rsid w:val="06D564A9"/>
    <w:rsid w:val="06EE1A5F"/>
    <w:rsid w:val="06F04498"/>
    <w:rsid w:val="06F36D35"/>
    <w:rsid w:val="07013972"/>
    <w:rsid w:val="072B7208"/>
    <w:rsid w:val="07313B2E"/>
    <w:rsid w:val="076D41BE"/>
    <w:rsid w:val="07780CAF"/>
    <w:rsid w:val="077C4750"/>
    <w:rsid w:val="079A6582"/>
    <w:rsid w:val="07A2232D"/>
    <w:rsid w:val="07A229F3"/>
    <w:rsid w:val="080366FC"/>
    <w:rsid w:val="08396FDA"/>
    <w:rsid w:val="085437D5"/>
    <w:rsid w:val="087807E8"/>
    <w:rsid w:val="08894E21"/>
    <w:rsid w:val="08AC363E"/>
    <w:rsid w:val="08AF2F41"/>
    <w:rsid w:val="090F4D18"/>
    <w:rsid w:val="095003C9"/>
    <w:rsid w:val="097426E8"/>
    <w:rsid w:val="09785085"/>
    <w:rsid w:val="098C3C3A"/>
    <w:rsid w:val="09D038B0"/>
    <w:rsid w:val="0A19617C"/>
    <w:rsid w:val="0A757EFD"/>
    <w:rsid w:val="0B375954"/>
    <w:rsid w:val="0B5029F7"/>
    <w:rsid w:val="0B831C71"/>
    <w:rsid w:val="0BA46D4C"/>
    <w:rsid w:val="0BA67147"/>
    <w:rsid w:val="0BC55C17"/>
    <w:rsid w:val="0BFB189F"/>
    <w:rsid w:val="0C095B1D"/>
    <w:rsid w:val="0C125AEB"/>
    <w:rsid w:val="0C2030B4"/>
    <w:rsid w:val="0C6A1390"/>
    <w:rsid w:val="0C8925FB"/>
    <w:rsid w:val="0C981E29"/>
    <w:rsid w:val="0D0E3BE8"/>
    <w:rsid w:val="0D247AA6"/>
    <w:rsid w:val="0D341E75"/>
    <w:rsid w:val="0D9D40EA"/>
    <w:rsid w:val="0DB717F6"/>
    <w:rsid w:val="0DB84935"/>
    <w:rsid w:val="0E26072A"/>
    <w:rsid w:val="0E412690"/>
    <w:rsid w:val="0E8D65C3"/>
    <w:rsid w:val="0ED35A82"/>
    <w:rsid w:val="0EEC4796"/>
    <w:rsid w:val="0F2936AE"/>
    <w:rsid w:val="0F680DBF"/>
    <w:rsid w:val="0F721A83"/>
    <w:rsid w:val="103E483D"/>
    <w:rsid w:val="11A67947"/>
    <w:rsid w:val="11C6025A"/>
    <w:rsid w:val="12525D00"/>
    <w:rsid w:val="12695796"/>
    <w:rsid w:val="126F5AF4"/>
    <w:rsid w:val="12856C79"/>
    <w:rsid w:val="12A165D1"/>
    <w:rsid w:val="12D572FC"/>
    <w:rsid w:val="132C2711"/>
    <w:rsid w:val="1395307B"/>
    <w:rsid w:val="13CE328A"/>
    <w:rsid w:val="13DD6D00"/>
    <w:rsid w:val="14055F7A"/>
    <w:rsid w:val="142E472D"/>
    <w:rsid w:val="14587163"/>
    <w:rsid w:val="146E5017"/>
    <w:rsid w:val="14BA613B"/>
    <w:rsid w:val="14EF637E"/>
    <w:rsid w:val="150F37B3"/>
    <w:rsid w:val="151E6A84"/>
    <w:rsid w:val="156B1DF9"/>
    <w:rsid w:val="157D4BDF"/>
    <w:rsid w:val="158505A8"/>
    <w:rsid w:val="15B14D7D"/>
    <w:rsid w:val="15B42ABF"/>
    <w:rsid w:val="15DB49C8"/>
    <w:rsid w:val="15F27A7F"/>
    <w:rsid w:val="163E2804"/>
    <w:rsid w:val="1769690A"/>
    <w:rsid w:val="17800EAB"/>
    <w:rsid w:val="17A96897"/>
    <w:rsid w:val="17CA73B9"/>
    <w:rsid w:val="17CF745C"/>
    <w:rsid w:val="17DA5055"/>
    <w:rsid w:val="18206012"/>
    <w:rsid w:val="18566322"/>
    <w:rsid w:val="18A5116F"/>
    <w:rsid w:val="18B232E6"/>
    <w:rsid w:val="18B66AFC"/>
    <w:rsid w:val="18C11494"/>
    <w:rsid w:val="190B363F"/>
    <w:rsid w:val="193F3C45"/>
    <w:rsid w:val="19464ECF"/>
    <w:rsid w:val="19641DEC"/>
    <w:rsid w:val="19762A96"/>
    <w:rsid w:val="19E03E83"/>
    <w:rsid w:val="19EC040D"/>
    <w:rsid w:val="1A10659A"/>
    <w:rsid w:val="1A2735AF"/>
    <w:rsid w:val="1A854E96"/>
    <w:rsid w:val="1A907657"/>
    <w:rsid w:val="1AA92018"/>
    <w:rsid w:val="1AFC2317"/>
    <w:rsid w:val="1B716075"/>
    <w:rsid w:val="1B7F0286"/>
    <w:rsid w:val="1BBE190A"/>
    <w:rsid w:val="1BC61A45"/>
    <w:rsid w:val="1BE0259A"/>
    <w:rsid w:val="1C0539CF"/>
    <w:rsid w:val="1C15128A"/>
    <w:rsid w:val="1C6F1B5D"/>
    <w:rsid w:val="1CEB2F7E"/>
    <w:rsid w:val="1D4703DE"/>
    <w:rsid w:val="1D5F4292"/>
    <w:rsid w:val="1D9B353D"/>
    <w:rsid w:val="1DCE128A"/>
    <w:rsid w:val="1DFF3CCB"/>
    <w:rsid w:val="1E4D511A"/>
    <w:rsid w:val="1E674B72"/>
    <w:rsid w:val="1E8326D5"/>
    <w:rsid w:val="1EAE7BDC"/>
    <w:rsid w:val="1EB01FC6"/>
    <w:rsid w:val="1EEA6266"/>
    <w:rsid w:val="1F3053EF"/>
    <w:rsid w:val="1F335229"/>
    <w:rsid w:val="1F4965EE"/>
    <w:rsid w:val="1F78690B"/>
    <w:rsid w:val="1F80153B"/>
    <w:rsid w:val="1FA07AC4"/>
    <w:rsid w:val="1FA52A91"/>
    <w:rsid w:val="1FB262C1"/>
    <w:rsid w:val="1FD74FF4"/>
    <w:rsid w:val="20016901"/>
    <w:rsid w:val="200B40F4"/>
    <w:rsid w:val="200C59D1"/>
    <w:rsid w:val="201C31DE"/>
    <w:rsid w:val="20A642F6"/>
    <w:rsid w:val="20C22534"/>
    <w:rsid w:val="20C5362C"/>
    <w:rsid w:val="20DF4E94"/>
    <w:rsid w:val="21203328"/>
    <w:rsid w:val="216E7FC6"/>
    <w:rsid w:val="21F521CD"/>
    <w:rsid w:val="22007FFE"/>
    <w:rsid w:val="22550ED7"/>
    <w:rsid w:val="22B66D05"/>
    <w:rsid w:val="22D447A0"/>
    <w:rsid w:val="22EE13BE"/>
    <w:rsid w:val="232A4124"/>
    <w:rsid w:val="234B3874"/>
    <w:rsid w:val="23CA15C5"/>
    <w:rsid w:val="23FB6F3D"/>
    <w:rsid w:val="240D1C00"/>
    <w:rsid w:val="241E5E11"/>
    <w:rsid w:val="24431BDE"/>
    <w:rsid w:val="24676D2C"/>
    <w:rsid w:val="24811071"/>
    <w:rsid w:val="24BF3DEC"/>
    <w:rsid w:val="24CD498B"/>
    <w:rsid w:val="24EB6AA9"/>
    <w:rsid w:val="24F5112A"/>
    <w:rsid w:val="24F739DA"/>
    <w:rsid w:val="250D08E5"/>
    <w:rsid w:val="251909A0"/>
    <w:rsid w:val="2551263E"/>
    <w:rsid w:val="25665B84"/>
    <w:rsid w:val="25E1136B"/>
    <w:rsid w:val="25F0544D"/>
    <w:rsid w:val="26AF1EE3"/>
    <w:rsid w:val="273B5DBD"/>
    <w:rsid w:val="27700E00"/>
    <w:rsid w:val="27891E22"/>
    <w:rsid w:val="27BC0C9F"/>
    <w:rsid w:val="27DB0E65"/>
    <w:rsid w:val="28420138"/>
    <w:rsid w:val="28700888"/>
    <w:rsid w:val="28BE0B56"/>
    <w:rsid w:val="28EE5B55"/>
    <w:rsid w:val="29127DD1"/>
    <w:rsid w:val="299D4212"/>
    <w:rsid w:val="29B844D4"/>
    <w:rsid w:val="29BC5386"/>
    <w:rsid w:val="29BF5862"/>
    <w:rsid w:val="29D075F3"/>
    <w:rsid w:val="2A111A8E"/>
    <w:rsid w:val="2A231805"/>
    <w:rsid w:val="2AA50EF4"/>
    <w:rsid w:val="2ADD33F0"/>
    <w:rsid w:val="2AEB2687"/>
    <w:rsid w:val="2AF377A9"/>
    <w:rsid w:val="2AFE30FD"/>
    <w:rsid w:val="2B1B7365"/>
    <w:rsid w:val="2B4C7BA5"/>
    <w:rsid w:val="2B554930"/>
    <w:rsid w:val="2B5D3172"/>
    <w:rsid w:val="2B6F76DE"/>
    <w:rsid w:val="2B767B06"/>
    <w:rsid w:val="2B833767"/>
    <w:rsid w:val="2BDE0D02"/>
    <w:rsid w:val="2BF46B84"/>
    <w:rsid w:val="2BFA7BE7"/>
    <w:rsid w:val="2C0C0CB9"/>
    <w:rsid w:val="2C1A4173"/>
    <w:rsid w:val="2C45668B"/>
    <w:rsid w:val="2C50706E"/>
    <w:rsid w:val="2CAD03C7"/>
    <w:rsid w:val="2CAF4152"/>
    <w:rsid w:val="2CB86DA1"/>
    <w:rsid w:val="2CBE75E2"/>
    <w:rsid w:val="2CC7002B"/>
    <w:rsid w:val="2CDC2894"/>
    <w:rsid w:val="2D482083"/>
    <w:rsid w:val="2D510380"/>
    <w:rsid w:val="2D9D49C2"/>
    <w:rsid w:val="2E281104"/>
    <w:rsid w:val="2E2C26BA"/>
    <w:rsid w:val="2E4840D9"/>
    <w:rsid w:val="2E690ED3"/>
    <w:rsid w:val="2E9B6D48"/>
    <w:rsid w:val="2EBD754B"/>
    <w:rsid w:val="2EC3393F"/>
    <w:rsid w:val="2EEE0E93"/>
    <w:rsid w:val="2F067253"/>
    <w:rsid w:val="2F751B56"/>
    <w:rsid w:val="2F911A4F"/>
    <w:rsid w:val="2FBB2F70"/>
    <w:rsid w:val="2FEA4355"/>
    <w:rsid w:val="2FF030E4"/>
    <w:rsid w:val="300600EF"/>
    <w:rsid w:val="307B1704"/>
    <w:rsid w:val="3092687B"/>
    <w:rsid w:val="309A5723"/>
    <w:rsid w:val="30AC4667"/>
    <w:rsid w:val="30BC0D4E"/>
    <w:rsid w:val="30CC723A"/>
    <w:rsid w:val="30D42A22"/>
    <w:rsid w:val="30E81AC2"/>
    <w:rsid w:val="319C4F48"/>
    <w:rsid w:val="31F33451"/>
    <w:rsid w:val="323959E0"/>
    <w:rsid w:val="325B1DFC"/>
    <w:rsid w:val="32672F3B"/>
    <w:rsid w:val="32682EE9"/>
    <w:rsid w:val="32866672"/>
    <w:rsid w:val="32D8178E"/>
    <w:rsid w:val="32F756B9"/>
    <w:rsid w:val="32F95086"/>
    <w:rsid w:val="3315361B"/>
    <w:rsid w:val="33244988"/>
    <w:rsid w:val="334A0F14"/>
    <w:rsid w:val="3350078A"/>
    <w:rsid w:val="33850A1A"/>
    <w:rsid w:val="33994BAE"/>
    <w:rsid w:val="33C70135"/>
    <w:rsid w:val="3425147A"/>
    <w:rsid w:val="343A55A1"/>
    <w:rsid w:val="35666A52"/>
    <w:rsid w:val="359B3893"/>
    <w:rsid w:val="35A72807"/>
    <w:rsid w:val="36123620"/>
    <w:rsid w:val="362D2681"/>
    <w:rsid w:val="362F751B"/>
    <w:rsid w:val="36387172"/>
    <w:rsid w:val="365504E6"/>
    <w:rsid w:val="36655150"/>
    <w:rsid w:val="369B7657"/>
    <w:rsid w:val="369E2305"/>
    <w:rsid w:val="36CC467B"/>
    <w:rsid w:val="36D12225"/>
    <w:rsid w:val="36E8649C"/>
    <w:rsid w:val="37417586"/>
    <w:rsid w:val="37612C7E"/>
    <w:rsid w:val="377D76E4"/>
    <w:rsid w:val="378B7F5C"/>
    <w:rsid w:val="37933D59"/>
    <w:rsid w:val="379D31FE"/>
    <w:rsid w:val="38077644"/>
    <w:rsid w:val="38116224"/>
    <w:rsid w:val="381D3CC3"/>
    <w:rsid w:val="38622809"/>
    <w:rsid w:val="38904319"/>
    <w:rsid w:val="38E958B3"/>
    <w:rsid w:val="393B2B17"/>
    <w:rsid w:val="39FB19BB"/>
    <w:rsid w:val="39FD5316"/>
    <w:rsid w:val="39FD7C4D"/>
    <w:rsid w:val="3AB900AC"/>
    <w:rsid w:val="3ADC37D8"/>
    <w:rsid w:val="3B425493"/>
    <w:rsid w:val="3BA05CB3"/>
    <w:rsid w:val="3BB001C3"/>
    <w:rsid w:val="3BBB4FC6"/>
    <w:rsid w:val="3BC7163B"/>
    <w:rsid w:val="3C4A3385"/>
    <w:rsid w:val="3C88227A"/>
    <w:rsid w:val="3C896F4C"/>
    <w:rsid w:val="3C8D7A42"/>
    <w:rsid w:val="3CA61417"/>
    <w:rsid w:val="3CB925E5"/>
    <w:rsid w:val="3CE75344"/>
    <w:rsid w:val="3D566E05"/>
    <w:rsid w:val="3D567A39"/>
    <w:rsid w:val="3D6B550C"/>
    <w:rsid w:val="3E012496"/>
    <w:rsid w:val="3E382833"/>
    <w:rsid w:val="3E7548C0"/>
    <w:rsid w:val="3EAC6276"/>
    <w:rsid w:val="3EE15DFE"/>
    <w:rsid w:val="3F213573"/>
    <w:rsid w:val="3F2F6B8F"/>
    <w:rsid w:val="3FAF6403"/>
    <w:rsid w:val="3FD06E5D"/>
    <w:rsid w:val="3FE62556"/>
    <w:rsid w:val="40CF5B6F"/>
    <w:rsid w:val="40EE4219"/>
    <w:rsid w:val="40F12A5A"/>
    <w:rsid w:val="411C75E7"/>
    <w:rsid w:val="41472271"/>
    <w:rsid w:val="415A1E20"/>
    <w:rsid w:val="41796CC4"/>
    <w:rsid w:val="41A74F39"/>
    <w:rsid w:val="41E2613A"/>
    <w:rsid w:val="41FB7695"/>
    <w:rsid w:val="42254D66"/>
    <w:rsid w:val="422975EC"/>
    <w:rsid w:val="422C37AB"/>
    <w:rsid w:val="424054D2"/>
    <w:rsid w:val="424A5B88"/>
    <w:rsid w:val="433E42AB"/>
    <w:rsid w:val="43525EC4"/>
    <w:rsid w:val="43B05159"/>
    <w:rsid w:val="44890AEF"/>
    <w:rsid w:val="44923EBD"/>
    <w:rsid w:val="44D75D41"/>
    <w:rsid w:val="452C1568"/>
    <w:rsid w:val="454F3A4F"/>
    <w:rsid w:val="4557657E"/>
    <w:rsid w:val="457572C5"/>
    <w:rsid w:val="45C47EF6"/>
    <w:rsid w:val="461864C9"/>
    <w:rsid w:val="462141D2"/>
    <w:rsid w:val="463F5002"/>
    <w:rsid w:val="466C7633"/>
    <w:rsid w:val="46A05D41"/>
    <w:rsid w:val="46F21739"/>
    <w:rsid w:val="46F51C0D"/>
    <w:rsid w:val="472E47E5"/>
    <w:rsid w:val="47C76F29"/>
    <w:rsid w:val="47FE7947"/>
    <w:rsid w:val="4864454E"/>
    <w:rsid w:val="4886147B"/>
    <w:rsid w:val="48EA1507"/>
    <w:rsid w:val="48FC1A56"/>
    <w:rsid w:val="499B4ED2"/>
    <w:rsid w:val="49B7388D"/>
    <w:rsid w:val="49DA1C0C"/>
    <w:rsid w:val="4A2D4E28"/>
    <w:rsid w:val="4A7F5664"/>
    <w:rsid w:val="4A8933CE"/>
    <w:rsid w:val="4AB91CE4"/>
    <w:rsid w:val="4AD3316F"/>
    <w:rsid w:val="4B1B13EE"/>
    <w:rsid w:val="4B9E4778"/>
    <w:rsid w:val="4BBA10E3"/>
    <w:rsid w:val="4BBC6B25"/>
    <w:rsid w:val="4BC259E5"/>
    <w:rsid w:val="4C4329D8"/>
    <w:rsid w:val="4C4647B2"/>
    <w:rsid w:val="4C8B1EE4"/>
    <w:rsid w:val="4CB36B19"/>
    <w:rsid w:val="4CC2277B"/>
    <w:rsid w:val="4CE93621"/>
    <w:rsid w:val="4CF66490"/>
    <w:rsid w:val="4CFC115C"/>
    <w:rsid w:val="4D180B27"/>
    <w:rsid w:val="4D8E0648"/>
    <w:rsid w:val="4D9C043D"/>
    <w:rsid w:val="4D9E7AF5"/>
    <w:rsid w:val="4DE23B4D"/>
    <w:rsid w:val="4DFE3AC1"/>
    <w:rsid w:val="4E2140F4"/>
    <w:rsid w:val="4E24387A"/>
    <w:rsid w:val="4E5F6ED0"/>
    <w:rsid w:val="4E7C67E1"/>
    <w:rsid w:val="4E9D44DC"/>
    <w:rsid w:val="4EA84268"/>
    <w:rsid w:val="4EBB6954"/>
    <w:rsid w:val="4ECA429E"/>
    <w:rsid w:val="4EF14020"/>
    <w:rsid w:val="4EFC5712"/>
    <w:rsid w:val="4F1E1CDC"/>
    <w:rsid w:val="4F396884"/>
    <w:rsid w:val="4F7F35E3"/>
    <w:rsid w:val="4F9644D5"/>
    <w:rsid w:val="50315E62"/>
    <w:rsid w:val="510F33AC"/>
    <w:rsid w:val="510F452E"/>
    <w:rsid w:val="51145BE4"/>
    <w:rsid w:val="513C4CC8"/>
    <w:rsid w:val="51576525"/>
    <w:rsid w:val="51715A23"/>
    <w:rsid w:val="5181117B"/>
    <w:rsid w:val="518B4221"/>
    <w:rsid w:val="518E2E20"/>
    <w:rsid w:val="51BA2C30"/>
    <w:rsid w:val="51BC79E8"/>
    <w:rsid w:val="51F40EA1"/>
    <w:rsid w:val="52543C84"/>
    <w:rsid w:val="52C804AE"/>
    <w:rsid w:val="52D946DE"/>
    <w:rsid w:val="52DE68E4"/>
    <w:rsid w:val="534E244F"/>
    <w:rsid w:val="53587DA8"/>
    <w:rsid w:val="536D4CA6"/>
    <w:rsid w:val="536F746F"/>
    <w:rsid w:val="5376752B"/>
    <w:rsid w:val="538A3444"/>
    <w:rsid w:val="539D0113"/>
    <w:rsid w:val="53C43DC7"/>
    <w:rsid w:val="53C86899"/>
    <w:rsid w:val="53FA1C36"/>
    <w:rsid w:val="541D3A51"/>
    <w:rsid w:val="54696247"/>
    <w:rsid w:val="54AE33C2"/>
    <w:rsid w:val="54D264E2"/>
    <w:rsid w:val="54E67898"/>
    <w:rsid w:val="55195EBF"/>
    <w:rsid w:val="553A47F7"/>
    <w:rsid w:val="55560894"/>
    <w:rsid w:val="558478DE"/>
    <w:rsid w:val="55C27A0C"/>
    <w:rsid w:val="562876F2"/>
    <w:rsid w:val="5631704D"/>
    <w:rsid w:val="5639305D"/>
    <w:rsid w:val="56CD1D0A"/>
    <w:rsid w:val="56E26265"/>
    <w:rsid w:val="56E61481"/>
    <w:rsid w:val="56FC7846"/>
    <w:rsid w:val="572205B1"/>
    <w:rsid w:val="573C3C9D"/>
    <w:rsid w:val="57580F21"/>
    <w:rsid w:val="581356E9"/>
    <w:rsid w:val="58302DCF"/>
    <w:rsid w:val="58334D5C"/>
    <w:rsid w:val="583A6230"/>
    <w:rsid w:val="589E0014"/>
    <w:rsid w:val="58C061AE"/>
    <w:rsid w:val="58F049CA"/>
    <w:rsid w:val="590238E4"/>
    <w:rsid w:val="59546FB3"/>
    <w:rsid w:val="596070EF"/>
    <w:rsid w:val="59822246"/>
    <w:rsid w:val="599F1009"/>
    <w:rsid w:val="59C91D55"/>
    <w:rsid w:val="59D87376"/>
    <w:rsid w:val="59F14D15"/>
    <w:rsid w:val="5A0116A6"/>
    <w:rsid w:val="5A2B70A5"/>
    <w:rsid w:val="5A5217AD"/>
    <w:rsid w:val="5A571568"/>
    <w:rsid w:val="5AB346C0"/>
    <w:rsid w:val="5ACD7262"/>
    <w:rsid w:val="5ACF0FC5"/>
    <w:rsid w:val="5ADA2C18"/>
    <w:rsid w:val="5ADC2D5B"/>
    <w:rsid w:val="5AFB2AF6"/>
    <w:rsid w:val="5B2F1F99"/>
    <w:rsid w:val="5B3779AE"/>
    <w:rsid w:val="5B3D2BF4"/>
    <w:rsid w:val="5BC14BBB"/>
    <w:rsid w:val="5BCE0647"/>
    <w:rsid w:val="5BD52217"/>
    <w:rsid w:val="5C186ED1"/>
    <w:rsid w:val="5C210AB8"/>
    <w:rsid w:val="5C81028E"/>
    <w:rsid w:val="5C885119"/>
    <w:rsid w:val="5CB17151"/>
    <w:rsid w:val="5CF05758"/>
    <w:rsid w:val="5D325D70"/>
    <w:rsid w:val="5D5D629A"/>
    <w:rsid w:val="5D655C35"/>
    <w:rsid w:val="5E016875"/>
    <w:rsid w:val="5E1B552A"/>
    <w:rsid w:val="5E6E2DD8"/>
    <w:rsid w:val="5EB3616E"/>
    <w:rsid w:val="5EB55739"/>
    <w:rsid w:val="5EE4687F"/>
    <w:rsid w:val="5EF32261"/>
    <w:rsid w:val="5F4608F0"/>
    <w:rsid w:val="5F733737"/>
    <w:rsid w:val="5F856C2F"/>
    <w:rsid w:val="5FEA2B00"/>
    <w:rsid w:val="60543E36"/>
    <w:rsid w:val="606D13C6"/>
    <w:rsid w:val="61130920"/>
    <w:rsid w:val="617F52FC"/>
    <w:rsid w:val="61BA27D8"/>
    <w:rsid w:val="61FC4103"/>
    <w:rsid w:val="62066C0B"/>
    <w:rsid w:val="620B112E"/>
    <w:rsid w:val="620E48D6"/>
    <w:rsid w:val="62337A90"/>
    <w:rsid w:val="626B0651"/>
    <w:rsid w:val="628C57C9"/>
    <w:rsid w:val="62BD30CC"/>
    <w:rsid w:val="62BE40A2"/>
    <w:rsid w:val="62F132CF"/>
    <w:rsid w:val="633F4208"/>
    <w:rsid w:val="63C416EC"/>
    <w:rsid w:val="63D74AB6"/>
    <w:rsid w:val="64131199"/>
    <w:rsid w:val="649A6007"/>
    <w:rsid w:val="64CD4CE5"/>
    <w:rsid w:val="64EA47B3"/>
    <w:rsid w:val="65027B49"/>
    <w:rsid w:val="65215EF2"/>
    <w:rsid w:val="65702D9F"/>
    <w:rsid w:val="65735178"/>
    <w:rsid w:val="659841E1"/>
    <w:rsid w:val="65DB1DD8"/>
    <w:rsid w:val="65ED2046"/>
    <w:rsid w:val="66404FCB"/>
    <w:rsid w:val="66931142"/>
    <w:rsid w:val="66982073"/>
    <w:rsid w:val="66CA441F"/>
    <w:rsid w:val="67116BC2"/>
    <w:rsid w:val="671229D8"/>
    <w:rsid w:val="67140294"/>
    <w:rsid w:val="6726293F"/>
    <w:rsid w:val="676A7018"/>
    <w:rsid w:val="678B49FB"/>
    <w:rsid w:val="679A2D3F"/>
    <w:rsid w:val="679B619A"/>
    <w:rsid w:val="679D2A1E"/>
    <w:rsid w:val="67E17531"/>
    <w:rsid w:val="67F16508"/>
    <w:rsid w:val="67FC681E"/>
    <w:rsid w:val="68017E16"/>
    <w:rsid w:val="685A78A1"/>
    <w:rsid w:val="68A112AF"/>
    <w:rsid w:val="691D372D"/>
    <w:rsid w:val="69285D5A"/>
    <w:rsid w:val="693B7D5A"/>
    <w:rsid w:val="69554C55"/>
    <w:rsid w:val="695B1C3F"/>
    <w:rsid w:val="697B04CD"/>
    <w:rsid w:val="69971724"/>
    <w:rsid w:val="69A41627"/>
    <w:rsid w:val="69A578CA"/>
    <w:rsid w:val="69CF0A8C"/>
    <w:rsid w:val="6A0740E0"/>
    <w:rsid w:val="6A12254A"/>
    <w:rsid w:val="6A7A0101"/>
    <w:rsid w:val="6AAF0E83"/>
    <w:rsid w:val="6AB9187F"/>
    <w:rsid w:val="6AF279A0"/>
    <w:rsid w:val="6B4F73CF"/>
    <w:rsid w:val="6B7B3E9B"/>
    <w:rsid w:val="6BBC4259"/>
    <w:rsid w:val="6BD54C99"/>
    <w:rsid w:val="6BF95CAB"/>
    <w:rsid w:val="6C382C6F"/>
    <w:rsid w:val="6CB1065C"/>
    <w:rsid w:val="6CB46277"/>
    <w:rsid w:val="6CC77A3F"/>
    <w:rsid w:val="6CD325A6"/>
    <w:rsid w:val="6CE07597"/>
    <w:rsid w:val="6D696A69"/>
    <w:rsid w:val="6D7F79FE"/>
    <w:rsid w:val="6D8617C0"/>
    <w:rsid w:val="6DC2450A"/>
    <w:rsid w:val="6DE1241C"/>
    <w:rsid w:val="6DF615E4"/>
    <w:rsid w:val="6DF80910"/>
    <w:rsid w:val="6E5E1BFC"/>
    <w:rsid w:val="6E954835"/>
    <w:rsid w:val="6EC76E64"/>
    <w:rsid w:val="6F114C47"/>
    <w:rsid w:val="6F343A09"/>
    <w:rsid w:val="6F5720B6"/>
    <w:rsid w:val="6F6E7887"/>
    <w:rsid w:val="6FF57D4B"/>
    <w:rsid w:val="70006C81"/>
    <w:rsid w:val="707A1AB0"/>
    <w:rsid w:val="708928E0"/>
    <w:rsid w:val="70D339BB"/>
    <w:rsid w:val="70D9508E"/>
    <w:rsid w:val="713C0B14"/>
    <w:rsid w:val="71B72890"/>
    <w:rsid w:val="71BB5107"/>
    <w:rsid w:val="72572ACC"/>
    <w:rsid w:val="725B13FC"/>
    <w:rsid w:val="72800ED4"/>
    <w:rsid w:val="728F14BC"/>
    <w:rsid w:val="72CA7C8D"/>
    <w:rsid w:val="72E10BE9"/>
    <w:rsid w:val="73570417"/>
    <w:rsid w:val="73572C3B"/>
    <w:rsid w:val="73866295"/>
    <w:rsid w:val="741123F3"/>
    <w:rsid w:val="7415577E"/>
    <w:rsid w:val="744F0B5E"/>
    <w:rsid w:val="748C7E2E"/>
    <w:rsid w:val="74AB4451"/>
    <w:rsid w:val="74B72E4D"/>
    <w:rsid w:val="75072875"/>
    <w:rsid w:val="750B72A4"/>
    <w:rsid w:val="752D21AB"/>
    <w:rsid w:val="753E1C23"/>
    <w:rsid w:val="758B63FA"/>
    <w:rsid w:val="759639D4"/>
    <w:rsid w:val="75A35605"/>
    <w:rsid w:val="760234D2"/>
    <w:rsid w:val="761D6AB0"/>
    <w:rsid w:val="763523FF"/>
    <w:rsid w:val="766600E4"/>
    <w:rsid w:val="76794DA6"/>
    <w:rsid w:val="76D14D6A"/>
    <w:rsid w:val="76E92751"/>
    <w:rsid w:val="770438E8"/>
    <w:rsid w:val="77756EBA"/>
    <w:rsid w:val="779F2619"/>
    <w:rsid w:val="77C265D2"/>
    <w:rsid w:val="77CC6E01"/>
    <w:rsid w:val="77F866B2"/>
    <w:rsid w:val="7816046B"/>
    <w:rsid w:val="782261A3"/>
    <w:rsid w:val="7826619A"/>
    <w:rsid w:val="7846436A"/>
    <w:rsid w:val="785B39C2"/>
    <w:rsid w:val="7873309E"/>
    <w:rsid w:val="78995411"/>
    <w:rsid w:val="78C074D3"/>
    <w:rsid w:val="78FD7415"/>
    <w:rsid w:val="78FE1FE6"/>
    <w:rsid w:val="7918112B"/>
    <w:rsid w:val="792D4A8B"/>
    <w:rsid w:val="79942F08"/>
    <w:rsid w:val="79A4749B"/>
    <w:rsid w:val="79D949B7"/>
    <w:rsid w:val="79EE4F6B"/>
    <w:rsid w:val="7A014890"/>
    <w:rsid w:val="7A141457"/>
    <w:rsid w:val="7A6865A0"/>
    <w:rsid w:val="7A694FD0"/>
    <w:rsid w:val="7A85528C"/>
    <w:rsid w:val="7B1869F0"/>
    <w:rsid w:val="7B484A71"/>
    <w:rsid w:val="7B4F6804"/>
    <w:rsid w:val="7B881F1E"/>
    <w:rsid w:val="7B8F1A83"/>
    <w:rsid w:val="7B901215"/>
    <w:rsid w:val="7BC57E1C"/>
    <w:rsid w:val="7C0A25B8"/>
    <w:rsid w:val="7C240B22"/>
    <w:rsid w:val="7C53065F"/>
    <w:rsid w:val="7C973166"/>
    <w:rsid w:val="7C9C0CF5"/>
    <w:rsid w:val="7CB51E6A"/>
    <w:rsid w:val="7CBB74E2"/>
    <w:rsid w:val="7CC70246"/>
    <w:rsid w:val="7CD267D0"/>
    <w:rsid w:val="7CE22FB3"/>
    <w:rsid w:val="7CE421B7"/>
    <w:rsid w:val="7D4E1740"/>
    <w:rsid w:val="7D717D97"/>
    <w:rsid w:val="7D821746"/>
    <w:rsid w:val="7D831878"/>
    <w:rsid w:val="7D9E4BA2"/>
    <w:rsid w:val="7DB3215D"/>
    <w:rsid w:val="7DF44E0F"/>
    <w:rsid w:val="7E2748F9"/>
    <w:rsid w:val="7E450870"/>
    <w:rsid w:val="7E50058A"/>
    <w:rsid w:val="7E787661"/>
    <w:rsid w:val="7ECA27A5"/>
    <w:rsid w:val="7ECA77C0"/>
    <w:rsid w:val="7EE259D0"/>
    <w:rsid w:val="7F0E15C3"/>
    <w:rsid w:val="7F271085"/>
    <w:rsid w:val="7F363994"/>
    <w:rsid w:val="7F3E4B98"/>
    <w:rsid w:val="7FA27C5D"/>
    <w:rsid w:val="7FC46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54BE7"/>
    <w:pPr>
      <w:widowControl w:val="0"/>
      <w:jc w:val="both"/>
    </w:pPr>
    <w:rPr>
      <w:rFonts w:asciiTheme="minorHAnsi" w:eastAsiaTheme="minorEastAsia" w:hAnsiTheme="minorHAnsi" w:cstheme="minorBidi"/>
      <w:kern w:val="2"/>
      <w:sz w:val="21"/>
      <w:szCs w:val="24"/>
    </w:rPr>
  </w:style>
  <w:style w:type="paragraph" w:styleId="20">
    <w:name w:val="heading 2"/>
    <w:basedOn w:val="a"/>
    <w:next w:val="a"/>
    <w:qFormat/>
    <w:rsid w:val="00954BE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nhideWhenUsed/>
    <w:qFormat/>
    <w:rsid w:val="00954BE7"/>
    <w:pPr>
      <w:keepNext/>
      <w:keepLines/>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p0"/>
    <w:qFormat/>
    <w:rsid w:val="00954BE7"/>
    <w:pPr>
      <w:spacing w:line="600" w:lineRule="exact"/>
      <w:ind w:firstLine="601"/>
    </w:pPr>
    <w:rPr>
      <w:rFonts w:ascii="仿宋_GB2312" w:eastAsia="仿宋_GB2312"/>
      <w:sz w:val="30"/>
      <w:szCs w:val="30"/>
    </w:rPr>
  </w:style>
  <w:style w:type="paragraph" w:customStyle="1" w:styleId="p0">
    <w:name w:val="p0"/>
    <w:next w:val="a3"/>
    <w:qFormat/>
    <w:rsid w:val="00954BE7"/>
    <w:pPr>
      <w:spacing w:line="365" w:lineRule="atLeast"/>
      <w:ind w:left="1"/>
    </w:pPr>
    <w:rPr>
      <w:sz w:val="24"/>
    </w:rPr>
  </w:style>
  <w:style w:type="paragraph" w:styleId="a3">
    <w:name w:val="header"/>
    <w:basedOn w:val="a"/>
    <w:qFormat/>
    <w:rsid w:val="00954BE7"/>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4">
    <w:name w:val="Body Text"/>
    <w:basedOn w:val="a"/>
    <w:qFormat/>
    <w:rsid w:val="00954BE7"/>
    <w:pPr>
      <w:spacing w:after="120"/>
    </w:pPr>
  </w:style>
  <w:style w:type="paragraph" w:styleId="a5">
    <w:name w:val="Body Text Indent"/>
    <w:basedOn w:val="a"/>
    <w:qFormat/>
    <w:rsid w:val="00954BE7"/>
    <w:pPr>
      <w:ind w:leftChars="200" w:left="420"/>
    </w:pPr>
  </w:style>
  <w:style w:type="paragraph" w:styleId="a6">
    <w:name w:val="Balloon Text"/>
    <w:basedOn w:val="a"/>
    <w:link w:val="Char"/>
    <w:qFormat/>
    <w:rsid w:val="00954BE7"/>
    <w:rPr>
      <w:sz w:val="18"/>
      <w:szCs w:val="18"/>
    </w:rPr>
  </w:style>
  <w:style w:type="paragraph" w:styleId="a7">
    <w:name w:val="footer"/>
    <w:basedOn w:val="a"/>
    <w:qFormat/>
    <w:rsid w:val="00954BE7"/>
    <w:pPr>
      <w:tabs>
        <w:tab w:val="center" w:pos="4153"/>
        <w:tab w:val="right" w:pos="8306"/>
      </w:tabs>
      <w:snapToGrid w:val="0"/>
      <w:jc w:val="left"/>
    </w:pPr>
    <w:rPr>
      <w:rFonts w:ascii="Times New Roman" w:hAnsi="Times New Roman"/>
      <w:kern w:val="0"/>
      <w:sz w:val="18"/>
      <w:szCs w:val="18"/>
    </w:rPr>
  </w:style>
  <w:style w:type="paragraph" w:styleId="1">
    <w:name w:val="toc 1"/>
    <w:basedOn w:val="a"/>
    <w:next w:val="a"/>
    <w:qFormat/>
    <w:rsid w:val="00954BE7"/>
    <w:pPr>
      <w:tabs>
        <w:tab w:val="right" w:leader="dot" w:pos="8296"/>
      </w:tabs>
      <w:spacing w:line="500" w:lineRule="exact"/>
      <w:jc w:val="center"/>
    </w:pPr>
    <w:rPr>
      <w:rFonts w:ascii="Times New Roman" w:eastAsia="仿宋_GB2312" w:hAnsi="Times New Roman"/>
      <w:b/>
      <w:sz w:val="32"/>
      <w:szCs w:val="28"/>
    </w:rPr>
  </w:style>
  <w:style w:type="paragraph" w:styleId="21">
    <w:name w:val="toc 2"/>
    <w:basedOn w:val="a"/>
    <w:next w:val="a"/>
    <w:qFormat/>
    <w:rsid w:val="00954BE7"/>
    <w:pPr>
      <w:ind w:leftChars="200" w:left="420"/>
    </w:pPr>
    <w:rPr>
      <w:rFonts w:ascii="Times New Roman" w:eastAsia="仿宋_GB2312" w:hAnsi="Times New Roman"/>
      <w:sz w:val="28"/>
    </w:rPr>
  </w:style>
  <w:style w:type="paragraph" w:styleId="a8">
    <w:name w:val="Normal (Web)"/>
    <w:basedOn w:val="a"/>
    <w:qFormat/>
    <w:rsid w:val="00954BE7"/>
    <w:pPr>
      <w:spacing w:beforeAutospacing="1" w:afterAutospacing="1"/>
      <w:jc w:val="left"/>
    </w:pPr>
    <w:rPr>
      <w:rFonts w:cs="Times New Roman"/>
      <w:kern w:val="0"/>
      <w:sz w:val="24"/>
    </w:rPr>
  </w:style>
  <w:style w:type="paragraph" w:styleId="22">
    <w:name w:val="Body Text First Indent 2"/>
    <w:basedOn w:val="a5"/>
    <w:qFormat/>
    <w:rsid w:val="00954BE7"/>
    <w:pPr>
      <w:ind w:firstLineChars="200" w:firstLine="420"/>
    </w:pPr>
  </w:style>
  <w:style w:type="table" w:styleId="a9">
    <w:name w:val="Table Grid"/>
    <w:basedOn w:val="a1"/>
    <w:qFormat/>
    <w:rsid w:val="00954B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sid w:val="00954BE7"/>
    <w:rPr>
      <w:color w:val="727272"/>
      <w:u w:val="none"/>
    </w:rPr>
  </w:style>
  <w:style w:type="character" w:styleId="ab">
    <w:name w:val="Hyperlink"/>
    <w:basedOn w:val="a0"/>
    <w:qFormat/>
    <w:rsid w:val="00954BE7"/>
    <w:rPr>
      <w:color w:val="727272"/>
      <w:u w:val="none"/>
    </w:rPr>
  </w:style>
  <w:style w:type="paragraph" w:customStyle="1" w:styleId="4">
    <w:name w:val="闻政标题4"/>
    <w:basedOn w:val="20"/>
    <w:qFormat/>
    <w:rsid w:val="00954BE7"/>
    <w:pPr>
      <w:spacing w:before="120" w:after="60" w:line="500" w:lineRule="exact"/>
      <w:ind w:firstLineChars="200" w:firstLine="562"/>
      <w:jc w:val="left"/>
    </w:pPr>
    <w:rPr>
      <w:rFonts w:ascii="Times New Roman" w:eastAsia="仿宋" w:hAnsi="Times New Roman"/>
      <w:sz w:val="28"/>
    </w:rPr>
  </w:style>
  <w:style w:type="paragraph" w:customStyle="1" w:styleId="5">
    <w:name w:val="闻政标题5"/>
    <w:basedOn w:val="a"/>
    <w:qFormat/>
    <w:rsid w:val="00954BE7"/>
    <w:pPr>
      <w:spacing w:before="120" w:after="60" w:line="500" w:lineRule="exact"/>
      <w:ind w:firstLineChars="200" w:firstLine="200"/>
    </w:pPr>
    <w:rPr>
      <w:rFonts w:ascii="Times New Roman" w:eastAsia="仿宋" w:hAnsi="Times New Roman"/>
      <w:b/>
      <w:kern w:val="0"/>
      <w:sz w:val="28"/>
      <w:szCs w:val="28"/>
    </w:rPr>
  </w:style>
  <w:style w:type="paragraph" w:customStyle="1" w:styleId="6">
    <w:name w:val="闻政标题6"/>
    <w:basedOn w:val="a"/>
    <w:qFormat/>
    <w:rsid w:val="00954BE7"/>
    <w:pPr>
      <w:numPr>
        <w:numId w:val="1"/>
      </w:numPr>
      <w:spacing w:before="120" w:after="60" w:line="500" w:lineRule="exact"/>
    </w:pPr>
    <w:rPr>
      <w:rFonts w:ascii="Times New Roman" w:eastAsia="仿宋" w:hAnsi="Times New Roman"/>
      <w:b/>
      <w:kern w:val="0"/>
      <w:sz w:val="28"/>
      <w:szCs w:val="28"/>
    </w:rPr>
  </w:style>
  <w:style w:type="paragraph" w:customStyle="1" w:styleId="ac">
    <w:name w:val="闻政正文"/>
    <w:basedOn w:val="a"/>
    <w:qFormat/>
    <w:rsid w:val="00954BE7"/>
    <w:pPr>
      <w:spacing w:line="500" w:lineRule="exact"/>
      <w:ind w:firstLineChars="200" w:firstLine="560"/>
    </w:pPr>
    <w:rPr>
      <w:rFonts w:ascii="Times New Roman" w:eastAsia="仿宋" w:hAnsi="Times New Roman"/>
      <w:kern w:val="0"/>
      <w:sz w:val="28"/>
      <w:szCs w:val="28"/>
    </w:rPr>
  </w:style>
  <w:style w:type="character" w:customStyle="1" w:styleId="Char">
    <w:name w:val="批注框文本 Char"/>
    <w:basedOn w:val="a0"/>
    <w:link w:val="a6"/>
    <w:qFormat/>
    <w:rsid w:val="00954BE7"/>
    <w:rPr>
      <w:rFonts w:asciiTheme="minorHAnsi" w:eastAsiaTheme="minorEastAsia" w:hAnsiTheme="minorHAnsi" w:cstheme="minorBidi"/>
      <w:kern w:val="2"/>
      <w:sz w:val="18"/>
      <w:szCs w:val="18"/>
    </w:rPr>
  </w:style>
  <w:style w:type="paragraph" w:styleId="ad">
    <w:name w:val="List Paragraph"/>
    <w:basedOn w:val="a"/>
    <w:uiPriority w:val="99"/>
    <w:unhideWhenUsed/>
    <w:qFormat/>
    <w:rsid w:val="00954BE7"/>
    <w:pPr>
      <w:ind w:firstLineChars="200" w:firstLine="420"/>
    </w:pPr>
  </w:style>
  <w:style w:type="character" w:customStyle="1" w:styleId="font11">
    <w:name w:val="font11"/>
    <w:basedOn w:val="a0"/>
    <w:qFormat/>
    <w:rsid w:val="00954BE7"/>
    <w:rPr>
      <w:rFonts w:ascii="宋体" w:eastAsia="宋体" w:hAnsi="宋体" w:cs="宋体" w:hint="eastAsia"/>
      <w:color w:val="FF0000"/>
      <w:sz w:val="22"/>
      <w:szCs w:val="22"/>
      <w:u w:val="none"/>
    </w:rPr>
  </w:style>
  <w:style w:type="character" w:customStyle="1" w:styleId="font21">
    <w:name w:val="font21"/>
    <w:basedOn w:val="a0"/>
    <w:qFormat/>
    <w:rsid w:val="00954BE7"/>
    <w:rPr>
      <w:rFonts w:ascii="Calibri" w:hAnsi="Calibri" w:cs="Calibri" w:hint="default"/>
      <w:color w:val="000000"/>
      <w:sz w:val="22"/>
      <w:szCs w:val="22"/>
      <w:u w:val="none"/>
    </w:rPr>
  </w:style>
  <w:style w:type="character" w:customStyle="1" w:styleId="font31">
    <w:name w:val="font31"/>
    <w:basedOn w:val="a0"/>
    <w:qFormat/>
    <w:rsid w:val="00954BE7"/>
    <w:rPr>
      <w:rFonts w:ascii="宋体" w:eastAsia="宋体" w:hAnsi="宋体" w:cs="宋体" w:hint="eastAsia"/>
      <w:color w:val="FF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7" textRotate="1"/>
    <customShpInfo spid="_x0000_s4108"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E4046-51D1-4B63-A341-E11A0A98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1229</Words>
  <Characters>7009</Characters>
  <Application>Microsoft Office Word</Application>
  <DocSecurity>0</DocSecurity>
  <Lines>58</Lines>
  <Paragraphs>16</Paragraphs>
  <ScaleCrop>false</ScaleCrop>
  <Company>微软中国</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昵称</dc:creator>
  <cp:lastModifiedBy>Administrator</cp:lastModifiedBy>
  <cp:revision>42</cp:revision>
  <cp:lastPrinted>2023-09-27T12:22:00Z</cp:lastPrinted>
  <dcterms:created xsi:type="dcterms:W3CDTF">2020-07-17T02:35:00Z</dcterms:created>
  <dcterms:modified xsi:type="dcterms:W3CDTF">2023-11-15T02:21:00Z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E074AB73769146C08C240617AB9E28E2</vt:lpwstr>
  </property>
</Properties>
</file>