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ind w:firstLine="32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348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8" w:lineRule="auto"/>
        <w:ind w:firstLine="442" w:firstLineChars="100"/>
        <w:jc w:val="center"/>
        <w:rPr>
          <w:rFonts w:ascii="文星简小标宋" w:eastAsia="文星简小标宋"/>
          <w:b/>
          <w:sz w:val="44"/>
        </w:rPr>
      </w:pPr>
      <w:r>
        <w:rPr>
          <w:rFonts w:hint="eastAsia" w:ascii="文星简小标宋" w:eastAsia="文星简小标宋"/>
          <w:b/>
          <w:sz w:val="44"/>
        </w:rPr>
        <w:t>凤凰县财政专项支出绩效自评报告</w:t>
      </w: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评价类型:实施过程评价□</w:t>
      </w:r>
      <w:r>
        <w:rPr>
          <w:rFonts w:ascii="楷体_GB2312" w:eastAsia="楷体_GB2312"/>
          <w:sz w:val="32"/>
        </w:rPr>
        <w:t xml:space="preserve">      </w:t>
      </w:r>
      <w:r>
        <w:rPr>
          <w:rFonts w:hint="eastAsia" w:ascii="楷体_GB2312" w:eastAsia="楷体_GB2312"/>
          <w:sz w:val="32"/>
        </w:rPr>
        <w:t>完成结果评价□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32"/>
        </w:rPr>
        <w:t>项目名称</w:t>
      </w:r>
      <w:r>
        <w:rPr>
          <w:rFonts w:ascii="楷体_GB2312" w:eastAsia="楷体_GB2312"/>
          <w:sz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22"/>
          <w:u w:val="single"/>
          <w:lang w:val="en-US" w:eastAsia="zh-CN"/>
        </w:rPr>
        <w:t xml:space="preserve">城乡居民医保工作经费  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项目单位法人代码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支出科目编码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</w:t>
      </w:r>
      <w:r>
        <w:rPr>
          <w:rFonts w:ascii="楷体_GB2312" w:eastAsia="楷体_GB2312"/>
          <w:sz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主管部门</w:t>
      </w:r>
      <w:r>
        <w:rPr>
          <w:rFonts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评价机构：中介机构□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专家组□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评价组□</w:t>
      </w:r>
    </w:p>
    <w:p>
      <w:pPr>
        <w:spacing w:line="348" w:lineRule="auto"/>
        <w:ind w:firstLine="614" w:firstLineChars="192"/>
        <w:rPr>
          <w:rFonts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</w:t>
      </w:r>
      <w:r>
        <w:rPr>
          <w:rFonts w:hint="eastAsia" w:ascii="楷体_GB2312" w:eastAsia="楷体_GB2312"/>
          <w:sz w:val="32"/>
          <w:lang w:val="en-US" w:eastAsia="zh-CN"/>
        </w:rPr>
        <w:t>2022</w:t>
      </w:r>
      <w:r>
        <w:rPr>
          <w:rFonts w:hint="eastAsia" w:ascii="楷体_GB2312" w:eastAsia="楷体_GB2312"/>
          <w:sz w:val="32"/>
        </w:rPr>
        <w:t>年</w:t>
      </w:r>
      <w:r>
        <w:rPr>
          <w:rFonts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lang w:val="en-US" w:eastAsia="zh-CN"/>
        </w:rPr>
        <w:t>6</w:t>
      </w:r>
      <w:r>
        <w:rPr>
          <w:rFonts w:hint="eastAsia" w:ascii="楷体_GB2312" w:eastAsia="楷体_GB2312"/>
          <w:sz w:val="32"/>
        </w:rPr>
        <w:t>月</w:t>
      </w:r>
      <w:r>
        <w:rPr>
          <w:rFonts w:hint="eastAsia" w:ascii="楷体_GB2312" w:eastAsia="楷体_GB2312"/>
          <w:sz w:val="32"/>
          <w:lang w:val="en-US" w:eastAsia="zh-CN"/>
        </w:rPr>
        <w:t xml:space="preserve"> 25</w:t>
      </w:r>
      <w:r>
        <w:rPr>
          <w:rFonts w:hint="eastAsia" w:ascii="楷体_GB2312" w:eastAsia="楷体_GB2312"/>
          <w:sz w:val="32"/>
        </w:rPr>
        <w:t>日</w:t>
      </w: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凤凰县财政局（制）</w:t>
      </w:r>
    </w:p>
    <w:p>
      <w:pPr>
        <w:snapToGrid w:val="0"/>
        <w:ind w:firstLine="403" w:firstLineChars="192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/>
        </w:rPr>
        <w:t xml:space="preserve"> </w:t>
      </w:r>
    </w:p>
    <w:tbl>
      <w:tblPr>
        <w:tblStyle w:val="8"/>
        <w:tblpPr w:leftFromText="180" w:rightFromText="180" w:vertAnchor="text" w:horzAnchor="page" w:tblpX="863" w:tblpY="291"/>
        <w:tblOverlap w:val="never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55"/>
        <w:gridCol w:w="498"/>
        <w:gridCol w:w="89"/>
        <w:gridCol w:w="579"/>
        <w:gridCol w:w="873"/>
        <w:gridCol w:w="92"/>
        <w:gridCol w:w="673"/>
        <w:gridCol w:w="24"/>
        <w:gridCol w:w="460"/>
        <w:gridCol w:w="964"/>
        <w:gridCol w:w="200"/>
        <w:gridCol w:w="287"/>
        <w:gridCol w:w="697"/>
        <w:gridCol w:w="937"/>
        <w:gridCol w:w="115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项目负责人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滕召利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13574336869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 xml:space="preserve">  址</w:t>
            </w:r>
          </w:p>
        </w:tc>
        <w:tc>
          <w:tcPr>
            <w:tcW w:w="3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凤凰县沱江镇土桥路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416200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项目起止时间</w:t>
            </w:r>
          </w:p>
        </w:tc>
        <w:tc>
          <w:tcPr>
            <w:tcW w:w="6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2021.1.1</w:t>
            </w:r>
            <w:r>
              <w:rPr>
                <w:rFonts w:hint="eastAsia" w:ascii="楷体_GB2312" w:eastAsia="楷体_GB2312"/>
                <w:sz w:val="24"/>
              </w:rPr>
              <w:t>～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2020.12.31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计划投资额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30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实际到位资金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26.04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zCs w:val="22"/>
                <w:lang w:val="en-US" w:eastAsia="zh-CN"/>
              </w:rPr>
              <w:t>30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zCs w:val="22"/>
                <w:lang w:val="en-US" w:eastAsia="zh-CN"/>
              </w:rPr>
              <w:t>26.04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概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为</w:t>
            </w:r>
            <w:r>
              <w:rPr>
                <w:rFonts w:hint="eastAsia" w:ascii="楷体_GB2312" w:eastAsia="楷体_GB2312"/>
                <w:lang w:val="en-US" w:eastAsia="zh-CN"/>
              </w:rPr>
              <w:t>保障</w:t>
            </w:r>
            <w:r>
              <w:rPr>
                <w:rFonts w:hint="eastAsia" w:ascii="楷体_GB2312" w:eastAsia="楷体_GB2312"/>
                <w:lang w:eastAsia="zh-CN"/>
              </w:rPr>
              <w:t>全县城乡居民医疗保险、全县城乡居民医疗的业务管理、城乡居民医保参保工作开展，相关医保政策宣传，城乡居民医保信息实地核实，全县医疗保险定点医疗机构、协议零售药店的医疗费用进行稽核和监管等工作</w:t>
            </w:r>
            <w:r>
              <w:rPr>
                <w:rFonts w:hint="eastAsia" w:ascii="楷体_GB2312" w:eastAsia="楷体_GB2312"/>
                <w:lang w:val="en-US" w:eastAsia="zh-CN"/>
              </w:rPr>
              <w:t>经费</w:t>
            </w:r>
            <w:r>
              <w:rPr>
                <w:rFonts w:hint="eastAsia" w:ascii="楷体_GB2312" w:eastAsia="楷体_GB2312"/>
                <w:lang w:eastAsia="zh-CN"/>
              </w:rPr>
              <w:t>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效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标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为</w:t>
            </w:r>
            <w:r>
              <w:rPr>
                <w:rFonts w:hint="eastAsia" w:ascii="楷体_GB2312" w:eastAsia="楷体_GB2312"/>
                <w:lang w:val="en-US" w:eastAsia="zh-CN"/>
              </w:rPr>
              <w:t>保障</w:t>
            </w:r>
            <w:r>
              <w:rPr>
                <w:rFonts w:hint="eastAsia" w:ascii="楷体_GB2312" w:eastAsia="楷体_GB2312"/>
                <w:lang w:eastAsia="zh-CN"/>
              </w:rPr>
              <w:t>全县城乡居民医疗保险、全县城乡居民医疗的业务管理、城乡居民医保参保工作开展，相关医保政策宣传，城乡居民医保信息实地核实，全县医疗保险定点医疗机构、协议零售药店的医疗费用进行稽核和监管等工作</w:t>
            </w:r>
            <w:r>
              <w:rPr>
                <w:rFonts w:hint="eastAsia" w:ascii="楷体_GB2312" w:eastAsia="楷体_GB2312"/>
                <w:lang w:val="en-US" w:eastAsia="zh-CN"/>
              </w:rPr>
              <w:t>经费</w:t>
            </w:r>
            <w:r>
              <w:rPr>
                <w:rFonts w:hint="eastAsia" w:ascii="楷体_GB2312" w:eastAsia="楷体_GB2312"/>
                <w:lang w:eastAsia="zh-CN"/>
              </w:rPr>
              <w:t>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行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  完成    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jc w:val="left"/>
              <w:rPr>
                <w:rFonts w:ascii="楷体_GB2312" w:eastAsia="楷体_GB2312"/>
                <w:lang w:val="en-US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截止2021年12月31日，资金使用率100%，</w:t>
            </w:r>
            <w:r>
              <w:rPr>
                <w:rFonts w:hint="eastAsia" w:ascii="楷体_GB2312" w:eastAsia="楷体_GB2312"/>
                <w:lang w:eastAsia="zh-CN"/>
              </w:rPr>
              <w:t>全县城乡居民医疗保险、全县城乡居民医疗的业务管理、城乡居民医保参保工作开展，相关医保政策宣传，城乡居民医保信息实地核实，全县医疗保险定点医疗机构、协议零售药店的医疗费用进行稽核和监管等工作</w:t>
            </w:r>
            <w:r>
              <w:rPr>
                <w:rFonts w:hint="eastAsia" w:ascii="楷体_GB2312" w:eastAsia="楷体_GB2312"/>
                <w:lang w:val="en-US" w:eastAsia="zh-CN"/>
              </w:rPr>
              <w:t>顺利开展。</w:t>
            </w: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资金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投入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2021年，</w:t>
            </w: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下达</w:t>
            </w:r>
            <w:r>
              <w:rPr>
                <w:rFonts w:hint="eastAsia" w:ascii="楷体_GB2312" w:eastAsia="楷体_GB2312"/>
                <w:lang w:val="en-US" w:eastAsia="zh-CN"/>
              </w:rPr>
              <w:t>城乡居民医保工作经费26.04</w:t>
            </w: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万元。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绩效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目标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实现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2021年，城乡居民医保工作经费资金已全部投入使用，有效保障了我县城乡居民医保工作的顺利开展，百姓的医保权益得到有效保证。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经济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所有项目资金</w:t>
            </w:r>
            <w:r>
              <w:rPr>
                <w:rFonts w:hint="eastAsia" w:ascii="楷体_GB2312" w:eastAsia="楷体_GB2312"/>
                <w:lang w:val="en-US" w:eastAsia="zh-CN"/>
              </w:rPr>
              <w:t>按照预期规划</w:t>
            </w:r>
            <w:r>
              <w:rPr>
                <w:rFonts w:hint="eastAsia" w:ascii="楷体_GB2312" w:eastAsia="楷体_GB2312"/>
              </w:rPr>
              <w:t>全部用于</w:t>
            </w:r>
            <w:r>
              <w:rPr>
                <w:rFonts w:hint="eastAsia" w:ascii="楷体_GB2312" w:eastAsia="楷体_GB2312"/>
                <w:lang w:val="en-US" w:eastAsia="zh-CN"/>
              </w:rPr>
              <w:t>医保业务支付</w:t>
            </w:r>
            <w:r>
              <w:rPr>
                <w:rFonts w:hint="eastAsia" w:ascii="楷体_GB2312" w:eastAsia="楷体_GB2312"/>
              </w:rPr>
              <w:t>，截止到</w:t>
            </w:r>
            <w:r>
              <w:rPr>
                <w:rFonts w:hint="eastAsia" w:ascii="楷体_GB2312" w:eastAsia="楷体_GB2312"/>
                <w:lang w:val="en-US" w:eastAsia="zh-CN"/>
              </w:rPr>
              <w:t>2021</w:t>
            </w:r>
            <w:r>
              <w:rPr>
                <w:rFonts w:hint="eastAsia" w:ascii="楷体_GB2312" w:eastAsia="楷体_GB2312"/>
              </w:rPr>
              <w:t>年底，项目资金的使用率为100%，没有截留、挪用、超范围开支现象。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社会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有效保障了我县城乡居民</w:t>
            </w:r>
            <w:bookmarkStart w:id="0" w:name="_GoBack"/>
            <w:bookmarkEnd w:id="0"/>
            <w:r>
              <w:rPr>
                <w:rFonts w:hint="eastAsia" w:ascii="楷体_GB2312" w:eastAsia="楷体_GB2312"/>
                <w:lang w:val="en-US" w:eastAsia="zh-CN"/>
              </w:rPr>
              <w:t>医保工作的顺利开展，百姓的医保权益得到有效保证。提高百姓幸福感和满意度。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组织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项目由负责人</w:t>
            </w:r>
            <w:r>
              <w:rPr>
                <w:rFonts w:hint="eastAsia" w:ascii="楷体_GB2312" w:eastAsia="楷体_GB2312"/>
                <w:lang w:val="en-US" w:eastAsia="zh-CN"/>
              </w:rPr>
              <w:t>滕召利</w:t>
            </w:r>
            <w:r>
              <w:rPr>
                <w:rFonts w:hint="eastAsia" w:ascii="楷体_GB2312" w:eastAsia="楷体_GB2312"/>
              </w:rPr>
              <w:t>同志组织医保</w:t>
            </w:r>
            <w:r>
              <w:rPr>
                <w:rFonts w:hint="eastAsia" w:ascii="楷体_GB2312" w:eastAsia="楷体_GB2312"/>
                <w:lang w:val="en-US" w:eastAsia="zh-CN"/>
              </w:rPr>
              <w:t>局</w:t>
            </w:r>
            <w:r>
              <w:rPr>
                <w:rFonts w:hint="eastAsia" w:ascii="楷体_GB2312" w:eastAsia="楷体_GB2312"/>
              </w:rPr>
              <w:t>各相关部门，严格按照专项资金管理制度实施，确保了专项资金的100%及时到位，并</w:t>
            </w:r>
            <w:r>
              <w:rPr>
                <w:rFonts w:hint="eastAsia" w:ascii="楷体_GB2312" w:eastAsia="楷体_GB2312"/>
                <w:lang w:val="en-US" w:eastAsia="zh-CN"/>
              </w:rPr>
              <w:t>按计划严格支出</w:t>
            </w:r>
            <w:r>
              <w:rPr>
                <w:rFonts w:hint="eastAsia" w:ascii="楷体_GB2312" w:eastAsia="楷体_GB2312"/>
              </w:rPr>
              <w:t>。无任何违规、违法现象。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财务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严格遵守《会计法》的规定，严格执行《社会保险基金会计制度》等财务管理的各项制度。规范执行，专项管理，严格把关，</w:t>
            </w:r>
            <w:r>
              <w:rPr>
                <w:rFonts w:hint="eastAsia" w:ascii="楷体_GB2312" w:eastAsia="楷体_GB2312"/>
                <w:lang w:val="en-US" w:eastAsia="zh-CN"/>
              </w:rPr>
              <w:t>做到专款专用</w:t>
            </w:r>
            <w:r>
              <w:rPr>
                <w:rFonts w:hint="eastAsia" w:ascii="楷体_GB2312" w:eastAsia="楷体_GB2312"/>
              </w:rPr>
              <w:t>，无任何违法违纪现象</w:t>
            </w:r>
            <w:r>
              <w:rPr>
                <w:rFonts w:hint="eastAsia" w:ascii="楷体_GB2312" w:eastAsia="楷体_GB2312"/>
                <w:lang w:eastAsia="zh-CN"/>
              </w:rPr>
              <w:t>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存在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问题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暂无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结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论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优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default" w:ascii="Arial" w:hAnsi="Arial" w:eastAsia="楷体_GB2312" w:cs="Arial"/>
              </w:rPr>
              <w:t>√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良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合格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不合格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0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议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价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员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职称/职务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位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4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专家组（评价组）组长（签字）：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00" w:firstLineChars="5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项目单位（中介机构）负责人（签字并盖章）：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6012" w:firstLineChars="2505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012" w:firstLineChars="2505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pStyle w:val="4"/>
        <w:snapToGrid w:val="0"/>
        <w:spacing w:line="440" w:lineRule="exact"/>
        <w:ind w:left="0" w:leftChars="0"/>
        <w:rPr>
          <w:rFonts w:hint="eastAsia" w:ascii="楷体_GB2312" w:eastAsia="楷体_GB2312"/>
          <w:sz w:val="36"/>
        </w:rPr>
      </w:pPr>
    </w:p>
    <w:tbl>
      <w:tblPr>
        <w:tblStyle w:val="8"/>
        <w:tblW w:w="111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519"/>
        <w:gridCol w:w="573"/>
        <w:gridCol w:w="538"/>
        <w:gridCol w:w="618"/>
        <w:gridCol w:w="540"/>
        <w:gridCol w:w="3841"/>
        <w:gridCol w:w="3343"/>
        <w:gridCol w:w="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财政专项支出绩效评价指标体系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一级指标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8240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9IVHlN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9264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eXLKdQAAAAHAQAADwAAAAAAAAABACAAAAAi&#10;AAAAZHJzL2Rvd25yZXYueG1sUEsBAhQAFAAAAAgAh07iQBSi7LPVAQAAkgMAAA4AAAAAAAAAAQAg&#10;AAAAIw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0288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HlyynUAAAABwEAAA8AAAAAAAAAAQAgAAAA&#10;IgAAAGRycy9kb3ducmV2LnhtbFBLAQIUABQAAAAIAIdO4kC0QIqu1gEAAJIDAAAOAAAAAAAAAAEA&#10;IAAAACM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1312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1B6opd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分值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二级指标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三级指标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评价标准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指标解释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项目决策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项目目标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目标内容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目标明确（1分），目标细化（1分），目标量化（2分）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目标是否明确、细化、量化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决策过程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决策依据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决策程序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分配办法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办法健全、规范（1分），因素选择全面、合理（1分）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分配结果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项目符合相关分配办法（2分），资金分配合理（4分）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资金分配是否符合相关管理办法；分配结果是否合理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项目管理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资金到位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根据项目实际到位资金占计划的比重计算得分（3分）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实际到位/计划到位×100%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资金是否及时到位；若未及时到位，是否影响项目进度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资金使用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财务管理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财务制度健全（1分），严格执行制度（1分），会计核算规范（1分）。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资金管理、费用支出等制度是否健全，是否严格执行；会计核算是否规范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组织实施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组织机构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机构健全、分工明确（1分）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机构是否健全、分工是否明确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管理制度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建立健全项目管理制度（2分）；严格执行相关项目管理制度（7分）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是否建立健全项目管理制度；是否严格执行相关项目管理制度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项目绩效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产出数量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5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对照绩效目标评价产出数量（5分）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项目产出数量是否达到绩效目标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产出质量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4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对照绩效目标评价产出质量（4分）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项目产出质量是否达到绩效目标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对照绩效目标评价产出时效（3分）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项目产出时效是否达到绩效目标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对照绩效目标评价产出成本（3分）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项目产出成本是否按绩效目标控制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项目效果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经济效益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对照绩效目标评价经济效益（8分）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项目实施是否产生直接或间接经济效益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社会效益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对照绩效目标评价社会效益（8分）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项目实施是否产生社会综合效益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环境效益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对照绩效目标评价环境效益（8分）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项目实施是否对环境产生积极或消极影响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可持续影响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对照绩效目标评价可持续影响（8分）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项目实施对人、自然、资源是否带来可持续影响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服务对象满意度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对照绩效目标评价服务对象满意度（8分）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项目预期服务对象对项目实施的满意程度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总分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92</w:t>
            </w:r>
          </w:p>
        </w:tc>
      </w:tr>
    </w:tbl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48"/>
          <w:szCs w:val="48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ascii="楷体_GB2312"/>
          <w:b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>填报说明</w:t>
      </w:r>
    </w:p>
    <w:p>
      <w:pPr>
        <w:snapToGrid w:val="0"/>
        <w:spacing w:line="440" w:lineRule="exact"/>
        <w:ind w:firstLine="460" w:firstLineChars="192"/>
        <w:rPr>
          <w:rFonts w:ascii="楷体_GB2312" w:eastAsia="楷体_GB2312"/>
          <w:sz w:val="24"/>
        </w:rPr>
      </w:pP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一、本报告由自评机构填写，所有内容必须客观真实。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二、封面填写</w:t>
      </w:r>
    </w:p>
    <w:p>
      <w:pPr>
        <w:snapToGrid w:val="0"/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（一）评价类型：在项目所属类型的方框内打√，属于跨年度支出项目中期评价的填报“实施过程评价”；属于项目完成后评价的填报“完成结果评价”。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（二）项目名称：须与项目批复文件的项目名称一致。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（三）项目单位法人代码：按照质量技术监督部门颁发的单位法人代码填写。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（四）支出科目编码：按照财政部统一的政府预算支出科目编码填写。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（五）项目单位：填写全称，不得省略。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（六）主管部门：填写全称，不得省略。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三、报告内容填写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（一）项目负责人：当项目负责人有多个时，项目负责人、联系电话、地址和邮编等栏目，可调整格式，逐个填写。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（二）项目起止时间：按照项目预算批复至项目完工（竣工验收）的实际时间填写。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（三）基本概况：填列项目的实施依据、涉及范围、主要内容和用途等。如项目执行过程中存在计划调整的，需说明调整原因情况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（四）项目绩效目标：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明细填列项目绩效总目标、阶段性目标及其分项子目标，对主要的经济、社会、生态环境效益目标等要有明确的指标和标准。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（五）项目执行情况：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1、项目完成情况：填列项目的完成时间，需验收项目的要明确是否已经通过验收；未按期完成或尚未完成的要说明原因。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2、资金投入情况:填列项目实际投入资金数额，明确计算出项目资金使用率（实际投入资金/实际到位资金×100％），项目执行超支显著或节余资金较多的，要说明原因。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3、绩效目标实现情况：应对照第（四）栏设定的各项绩效目标，分项填列实际完成情况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4、经济效益分析：填列项目实施取得的经济效益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5、社会效益分析：填列项目实施取得的社会效益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6、项目组织管理情况：填列项目的组织管理体系运行构架，是否按照有关规章制度要求规范执行，是否存在违规违法问题。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7、项目财务管理情况：填列项目的财务管理体系运行构架，是否按照有关规章制度要求规范执行，专项管理，严格把关，是否存在违法违规问题。</w:t>
      </w:r>
    </w:p>
    <w:p>
      <w:pPr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8、存在问题及分析：填列项目实施过程和执行效果中发现的问题，并进行分析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（六）自评结论：对项目实施后所取得的绩效进行概括性总结，并给出相应的评价等次。等级分成优、良、较差、差四个等次：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1、优：项目按期完成，顺利通过验收，各项绩效目标全部实现，经济和社会效益显著，项目组织管理和财务管理健全规范，未发生违法违规问题的。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2、良：项目按期完成，顺利通过验收，各项绩效目标基本实现，经济和社会效益较好，项目组织管理和财务管理健全规范，未发生违法违规问题的。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3、较差：项目按期完成，顺利通过验收，各项绩效目标基本实现，经济和社会效益有所提高，项目组织管理和财务管理基本健全规范，未发生违法违规问题的。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差：项目未能按期完成或未能通过验收的且无正当理由的；预定绩效目标基本未实现；项目实施后经济效益和社会效益基本无提高；项目组织管理和财务管理不规范，发现有违法违规问题的；有以上四点情况之一的，为差。</w:t>
      </w:r>
    </w:p>
    <w:tbl>
      <w:tblPr>
        <w:tblStyle w:val="8"/>
        <w:tblW w:w="7560" w:type="dxa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2"/>
        <w:gridCol w:w="1512"/>
        <w:gridCol w:w="1512"/>
        <w:gridCol w:w="15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评价等次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优秀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良好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z w:val="24"/>
                <w:szCs w:val="24"/>
              </w:rPr>
              <w:t>较差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差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参考分值</w:t>
            </w:r>
            <w:r>
              <w:rPr>
                <w:sz w:val="24"/>
                <w:szCs w:val="24"/>
              </w:rPr>
              <w:t xml:space="preserve"> S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90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80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60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＜</w:t>
            </w:r>
            <w:r>
              <w:rPr>
                <w:sz w:val="24"/>
                <w:szCs w:val="24"/>
              </w:rPr>
              <w:t xml:space="preserve"> 60 </w:t>
            </w:r>
          </w:p>
        </w:tc>
      </w:tr>
    </w:tbl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（七）有关建议：针对评价过程中发现的问题，提出相应的改进意见。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（八）评价人员：填写参与项目评价的所有成员名单，并由各成员签字确认。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（九）专家组（评价组）组长（签字）：由项目单位组织的专家组或内部人员组成的评价组、受托中介机构组成的评价组的组长签字。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（十） 项目单位（中介机构）负责人（签字并盖章）：项目单位或中介机构负责人签字后，须加盖单位公章。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四、自评报告统一使用A4纸打印、装订，以部门文件形式上报。</w:t>
      </w:r>
    </w:p>
    <w:p/>
    <w:p/>
    <w:p/>
    <w:p/>
    <w:sectPr>
      <w:footerReference r:id="rId3" w:type="default"/>
      <w:footerReference r:id="rId4" w:type="even"/>
      <w:pgSz w:w="11906" w:h="16838"/>
      <w:pgMar w:top="1440" w:right="1800" w:bottom="1440" w:left="5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72356"/>
    <w:rsid w:val="19C602D2"/>
    <w:rsid w:val="5B172356"/>
    <w:rsid w:val="661440C0"/>
    <w:rsid w:val="705268DE"/>
    <w:rsid w:val="725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widowControl w:val="0"/>
      <w:overflowPunct/>
      <w:autoSpaceDE/>
      <w:autoSpaceDN/>
      <w:adjustRightInd/>
      <w:textAlignment w:val="auto"/>
    </w:pPr>
    <w:rPr>
      <w:kern w:val="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2022-06-25T08:56:00Z</dcterms:created>
  <dc:creator>竹上鸟</dc:creator>
  <cp:lastModifiedBy>竹上鸟</cp:lastModifiedBy>
  <dcterms:modified xsi:type="dcterms:W3CDTF">2022-06-25T09:02:21Z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