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82AA7">
      <w:pPr>
        <w:ind w:firstLine="640" w:firstLineChars="200"/>
        <w:rPr>
          <w:rFonts w:ascii="仿宋_GB2312" w:eastAsia="仿宋_GB2312"/>
          <w:sz w:val="32"/>
          <w:szCs w:val="32"/>
        </w:rPr>
      </w:pPr>
    </w:p>
    <w:p w14:paraId="54AB2665">
      <w:pPr>
        <w:ind w:firstLine="880" w:firstLineChars="200"/>
        <w:jc w:val="center"/>
        <w:rPr>
          <w:rFonts w:ascii="仿宋_GB2312" w:eastAsia="仿宋_GB2312"/>
          <w:sz w:val="44"/>
          <w:szCs w:val="44"/>
        </w:rPr>
      </w:pPr>
      <w:r>
        <w:rPr>
          <w:rFonts w:hint="eastAsia" w:ascii="仿宋_GB2312" w:eastAsia="仿宋_GB2312"/>
          <w:sz w:val="44"/>
          <w:szCs w:val="44"/>
        </w:rPr>
        <w:t>凤凰县202</w:t>
      </w:r>
      <w:r>
        <w:rPr>
          <w:rFonts w:hint="eastAsia" w:ascii="仿宋_GB2312" w:eastAsia="仿宋_GB2312"/>
          <w:sz w:val="44"/>
          <w:szCs w:val="44"/>
          <w:lang w:val="en-US" w:eastAsia="zh-CN"/>
        </w:rPr>
        <w:t>5</w:t>
      </w:r>
      <w:r>
        <w:rPr>
          <w:rFonts w:hint="eastAsia" w:ascii="仿宋_GB2312" w:eastAsia="仿宋_GB2312"/>
          <w:sz w:val="44"/>
          <w:szCs w:val="44"/>
        </w:rPr>
        <w:t>年财政预算相关说明</w:t>
      </w:r>
    </w:p>
    <w:p w14:paraId="39C59D6E">
      <w:pPr>
        <w:ind w:firstLine="640" w:firstLineChars="200"/>
        <w:rPr>
          <w:rFonts w:ascii="仿宋_GB2312" w:eastAsia="仿宋_GB2312"/>
          <w:sz w:val="32"/>
          <w:szCs w:val="32"/>
        </w:rPr>
      </w:pPr>
    </w:p>
    <w:p w14:paraId="4B7B7E5E">
      <w:pPr>
        <w:widowControl/>
        <w:ind w:firstLine="643" w:firstLineChars="200"/>
        <w:jc w:val="left"/>
        <w:rPr>
          <w:rFonts w:ascii="仿宋_GB2312" w:eastAsia="仿宋_GB2312"/>
          <w:b/>
          <w:bCs/>
          <w:kern w:val="0"/>
          <w:sz w:val="32"/>
          <w:szCs w:val="32"/>
        </w:rPr>
      </w:pPr>
    </w:p>
    <w:p w14:paraId="1B77001F">
      <w:pPr>
        <w:widowControl/>
        <w:wordWrap/>
        <w:spacing w:line="560" w:lineRule="exact"/>
        <w:ind w:firstLine="640" w:firstLineChars="200"/>
        <w:jc w:val="left"/>
        <w:textAlignment w:val="auto"/>
        <w:rPr>
          <w:rFonts w:ascii="仿宋_GB2312" w:eastAsia="仿宋_GB2312"/>
          <w:bCs/>
          <w:kern w:val="0"/>
          <w:sz w:val="32"/>
          <w:szCs w:val="32"/>
        </w:rPr>
      </w:pPr>
      <w:r>
        <w:rPr>
          <w:rFonts w:hint="eastAsia" w:ascii="仿宋_GB2312" w:eastAsia="仿宋_GB2312"/>
          <w:bCs/>
          <w:kern w:val="0"/>
          <w:sz w:val="32"/>
          <w:szCs w:val="32"/>
        </w:rPr>
        <w:t>一、税收返还和转移支付情况说明</w:t>
      </w:r>
    </w:p>
    <w:p w14:paraId="1FA7901A">
      <w:pPr>
        <w:wordWrap/>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（一）关于对下税收返还和转移支付预算情况，因我县乡镇人民政府没有作为一级政府独立编制政府预算，而是作为我县的一个预算单位编制部门预算，因此我县没有向下转移支付资金。</w:t>
      </w:r>
    </w:p>
    <w:p w14:paraId="643DBC4C">
      <w:pPr>
        <w:wordWrap/>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二、举借政府债务情况</w:t>
      </w:r>
    </w:p>
    <w:p w14:paraId="10DACC0F">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sz w:val="32"/>
          <w:szCs w:val="32"/>
        </w:rPr>
        <w:t>（一）地方政府债务限额余额情况</w:t>
      </w:r>
    </w:p>
    <w:p w14:paraId="4E931A2B">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根据《预算法》、《国务院关于加强地方政府债务管理的意见》和财政部关于地方政府债务限额的相关规定，地方政府新增债务限额需经省政府批准后，下达地方财政预算。根据新增债务限额选择拟安排项目申请发行。</w:t>
      </w:r>
    </w:p>
    <w:p w14:paraId="154E9A5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年，我县地方政府债务总限额</w:t>
      </w:r>
      <w:r>
        <w:rPr>
          <w:rFonts w:hint="eastAsia" w:ascii="仿宋_GB2312" w:eastAsia="仿宋_GB2312"/>
          <w:color w:val="0000FF"/>
          <w:sz w:val="32"/>
          <w:szCs w:val="32"/>
          <w:lang w:val="en-US" w:eastAsia="zh-CN"/>
        </w:rPr>
        <w:t>751136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FF"/>
          <w:sz w:val="32"/>
          <w:szCs w:val="32"/>
          <w:lang w:val="en-US" w:eastAsia="zh-CN"/>
        </w:rPr>
        <w:t>359956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元，专项债务限额</w:t>
      </w:r>
      <w:r>
        <w:rPr>
          <w:rFonts w:hint="eastAsia" w:ascii="仿宋_GB2312" w:eastAsia="仿宋_GB2312"/>
          <w:color w:val="0000FF"/>
          <w:sz w:val="32"/>
          <w:szCs w:val="32"/>
          <w:lang w:val="en-US" w:eastAsia="zh-CN"/>
        </w:rPr>
        <w:t>391180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元。截止20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年底，地方政府债务余额</w:t>
      </w:r>
      <w:r>
        <w:rPr>
          <w:rFonts w:hint="eastAsia" w:ascii="仿宋_GB2312" w:eastAsia="仿宋_GB2312"/>
          <w:color w:val="0000FF"/>
          <w:sz w:val="32"/>
          <w:szCs w:val="32"/>
          <w:lang w:val="en-US" w:eastAsia="zh-CN"/>
        </w:rPr>
        <w:t>732922.03</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元，其中一般债务余额</w:t>
      </w:r>
      <w:r>
        <w:rPr>
          <w:rFonts w:hint="eastAsia" w:ascii="仿宋_GB2312" w:eastAsia="仿宋_GB2312"/>
          <w:color w:val="0000FF"/>
          <w:sz w:val="32"/>
          <w:szCs w:val="32"/>
          <w:lang w:val="en-US" w:eastAsia="zh-CN"/>
        </w:rPr>
        <w:t>347283.03</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元，专项债务余额</w:t>
      </w:r>
      <w:r>
        <w:rPr>
          <w:rFonts w:hint="eastAsia" w:ascii="仿宋_GB2312" w:eastAsia="仿宋_GB2312"/>
          <w:color w:val="0000FF"/>
          <w:sz w:val="32"/>
          <w:szCs w:val="32"/>
          <w:lang w:val="en-US" w:eastAsia="zh-CN"/>
        </w:rPr>
        <w:t>385639</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p>
    <w:p w14:paraId="5995003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（二）地方政府债券发行及还本付息情况</w:t>
      </w:r>
    </w:p>
    <w:p w14:paraId="6C589F5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年，省转贷新增债务限额</w:t>
      </w:r>
      <w:r>
        <w:rPr>
          <w:rFonts w:hint="eastAsia" w:ascii="仿宋_GB2312" w:eastAsia="仿宋_GB2312"/>
          <w:color w:val="0000FF"/>
          <w:sz w:val="32"/>
          <w:szCs w:val="32"/>
          <w:lang w:val="en-US" w:eastAsia="zh-CN"/>
        </w:rPr>
        <w:t>131800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FF"/>
          <w:sz w:val="32"/>
          <w:szCs w:val="32"/>
          <w:lang w:val="en-US" w:eastAsia="zh-CN"/>
        </w:rPr>
        <w:t>11800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元，专项债务限额</w:t>
      </w:r>
      <w:r>
        <w:rPr>
          <w:rFonts w:hint="eastAsia" w:ascii="仿宋_GB2312" w:eastAsia="仿宋_GB2312"/>
          <w:color w:val="0000FF"/>
          <w:sz w:val="32"/>
          <w:szCs w:val="32"/>
          <w:lang w:val="en-US" w:eastAsia="zh-CN"/>
        </w:rPr>
        <w:t>120000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元。共发行新增债券</w:t>
      </w:r>
      <w:r>
        <w:rPr>
          <w:rFonts w:hint="eastAsia" w:ascii="仿宋_GB2312" w:eastAsia="仿宋_GB2312"/>
          <w:color w:val="0000FF"/>
          <w:sz w:val="32"/>
          <w:szCs w:val="32"/>
          <w:lang w:val="en-US" w:eastAsia="zh-CN"/>
        </w:rPr>
        <w:t>130100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元，其中发行一般债券</w:t>
      </w:r>
      <w:r>
        <w:rPr>
          <w:rFonts w:hint="eastAsia" w:ascii="仿宋_GB2312" w:eastAsia="仿宋_GB2312"/>
          <w:color w:val="0000FF"/>
          <w:sz w:val="32"/>
          <w:szCs w:val="32"/>
          <w:lang w:val="en-US" w:eastAsia="zh-CN"/>
        </w:rPr>
        <w:t>10100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（新增一般债券</w:t>
      </w:r>
      <w:r>
        <w:rPr>
          <w:rFonts w:hint="eastAsia" w:ascii="仿宋_GB2312" w:eastAsia="仿宋_GB2312"/>
          <w:color w:val="000000"/>
          <w:sz w:val="32"/>
          <w:szCs w:val="32"/>
          <w:lang w:val="en-US" w:eastAsia="zh-CN"/>
        </w:rPr>
        <w:t>5500万元；</w:t>
      </w:r>
      <w:r>
        <w:rPr>
          <w:rFonts w:hint="eastAsia" w:ascii="仿宋_GB2312" w:eastAsia="仿宋_GB2312"/>
          <w:color w:val="000000"/>
          <w:sz w:val="32"/>
          <w:szCs w:val="32"/>
          <w:lang w:eastAsia="zh-CN"/>
        </w:rPr>
        <w:t>结存限额一般债券</w:t>
      </w:r>
      <w:r>
        <w:rPr>
          <w:rFonts w:hint="eastAsia" w:ascii="仿宋_GB2312" w:eastAsia="仿宋_GB2312"/>
          <w:color w:val="000000"/>
          <w:sz w:val="32"/>
          <w:szCs w:val="32"/>
          <w:lang w:val="en-US" w:eastAsia="zh-CN"/>
        </w:rPr>
        <w:t>4600万元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，专项债券</w:t>
      </w:r>
      <w:r>
        <w:rPr>
          <w:rFonts w:hint="eastAsia" w:ascii="仿宋_GB2312" w:eastAsia="仿宋_GB2312"/>
          <w:color w:val="0000FF"/>
          <w:sz w:val="32"/>
          <w:szCs w:val="32"/>
          <w:lang w:val="en-US" w:eastAsia="zh-CN"/>
        </w:rPr>
        <w:t>120000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（新增专项债券</w:t>
      </w:r>
      <w:r>
        <w:rPr>
          <w:rFonts w:hint="eastAsia" w:ascii="仿宋_GB2312" w:eastAsia="仿宋_GB2312"/>
          <w:color w:val="000000"/>
          <w:sz w:val="32"/>
          <w:szCs w:val="32"/>
          <w:lang w:val="en-US" w:eastAsia="zh-CN"/>
        </w:rPr>
        <w:t>20500万元；补充政府性基金财力专项债券43900万元；置换存量债务专项债券51500万元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，平均期限</w:t>
      </w:r>
      <w:r>
        <w:rPr>
          <w:rFonts w:hint="eastAsia" w:ascii="仿宋_GB2312" w:eastAsia="仿宋_GB2312"/>
          <w:color w:val="0000FF"/>
          <w:sz w:val="32"/>
          <w:szCs w:val="32"/>
          <w:lang w:val="en-US" w:eastAsia="zh-CN"/>
        </w:rPr>
        <w:t>15</w:t>
      </w:r>
      <w:r>
        <w:rPr>
          <w:rFonts w:hint="eastAsia" w:ascii="仿宋_GB2312" w:eastAsia="仿宋_GB2312"/>
          <w:color w:val="000000"/>
          <w:sz w:val="32"/>
          <w:szCs w:val="32"/>
        </w:rPr>
        <w:t>年，平均利率</w:t>
      </w:r>
      <w:r>
        <w:rPr>
          <w:rFonts w:hint="eastAsia" w:ascii="仿宋_GB2312" w:eastAsia="仿宋_GB2312"/>
          <w:color w:val="0000FF"/>
          <w:sz w:val="32"/>
          <w:szCs w:val="32"/>
          <w:lang w:val="en-US" w:eastAsia="zh-CN"/>
        </w:rPr>
        <w:t>2.19%</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年发行再融资一般债券</w:t>
      </w:r>
      <w:r>
        <w:rPr>
          <w:rFonts w:hint="eastAsia" w:ascii="仿宋_GB2312" w:eastAsia="仿宋_GB2312"/>
          <w:color w:val="0000FF"/>
          <w:sz w:val="32"/>
          <w:szCs w:val="32"/>
          <w:lang w:val="en-US" w:eastAsia="zh-CN"/>
        </w:rPr>
        <w:t>135760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p>
    <w:p w14:paraId="4B53FB2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年偿还地方政府债券本金</w:t>
      </w:r>
      <w:r>
        <w:rPr>
          <w:rFonts w:hint="eastAsia" w:ascii="仿宋_GB2312" w:eastAsia="仿宋_GB2312"/>
          <w:color w:val="0000FF"/>
          <w:sz w:val="32"/>
          <w:szCs w:val="32"/>
          <w:lang w:val="en-US" w:eastAsia="zh-CN"/>
        </w:rPr>
        <w:t>150847.01</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元，其中一般债券本金</w:t>
      </w:r>
      <w:r>
        <w:rPr>
          <w:rFonts w:hint="eastAsia" w:ascii="仿宋_GB2312" w:eastAsia="仿宋_GB2312"/>
          <w:color w:val="0000FF"/>
          <w:sz w:val="32"/>
          <w:szCs w:val="32"/>
          <w:lang w:val="en-US" w:eastAsia="zh-CN"/>
        </w:rPr>
        <w:t>145347.01</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债券本金</w:t>
      </w:r>
      <w:r>
        <w:rPr>
          <w:rFonts w:hint="eastAsia" w:ascii="仿宋_GB2312" w:eastAsia="仿宋_GB2312"/>
          <w:color w:val="0000FF"/>
          <w:sz w:val="32"/>
          <w:szCs w:val="32"/>
          <w:lang w:val="en-US" w:eastAsia="zh-CN"/>
        </w:rPr>
        <w:t>5500</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元；支付地方政府债券利息</w:t>
      </w:r>
      <w:r>
        <w:rPr>
          <w:rFonts w:hint="eastAsia" w:ascii="仿宋_GB2312" w:eastAsia="仿宋_GB2312"/>
          <w:color w:val="0000FF"/>
          <w:sz w:val="32"/>
          <w:szCs w:val="32"/>
          <w:lang w:val="en-US" w:eastAsia="zh-CN"/>
        </w:rPr>
        <w:t>19893.73</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其中一般债券利息</w:t>
      </w:r>
      <w:r>
        <w:rPr>
          <w:rFonts w:hint="eastAsia" w:ascii="仿宋_GB2312" w:eastAsia="仿宋_GB2312"/>
          <w:color w:val="0000FF"/>
          <w:sz w:val="32"/>
          <w:szCs w:val="32"/>
          <w:lang w:val="en-US" w:eastAsia="zh-CN"/>
        </w:rPr>
        <w:t>10782.60</w:t>
      </w:r>
      <w:r>
        <w:rPr>
          <w:rFonts w:hint="eastAsia" w:ascii="仿宋_GB2312" w:eastAsia="仿宋_GB2312"/>
          <w:color w:val="000000"/>
          <w:sz w:val="32"/>
          <w:szCs w:val="32"/>
          <w:lang w:val="en-US" w:eastAsia="zh-CN"/>
        </w:rPr>
        <w:t>万元，专项债券利息</w:t>
      </w:r>
      <w:r>
        <w:rPr>
          <w:rFonts w:hint="eastAsia" w:ascii="仿宋_GB2312" w:eastAsia="仿宋_GB2312"/>
          <w:color w:val="0000FF"/>
          <w:sz w:val="32"/>
          <w:szCs w:val="32"/>
          <w:lang w:val="en-US" w:eastAsia="zh-CN"/>
        </w:rPr>
        <w:t>9111.13</w:t>
      </w:r>
      <w:r>
        <w:rPr>
          <w:rFonts w:hint="eastAsia" w:ascii="仿宋_GB2312" w:eastAsia="仿宋_GB2312"/>
          <w:color w:val="auto"/>
          <w:sz w:val="32"/>
          <w:szCs w:val="32"/>
          <w:lang w:val="en-US" w:eastAsia="zh-CN"/>
        </w:rPr>
        <w:t>万元</w:t>
      </w:r>
      <w:r>
        <w:rPr>
          <w:rFonts w:hint="eastAsia" w:ascii="仿宋_GB2312" w:eastAsia="仿宋_GB2312"/>
          <w:color w:val="000000"/>
          <w:sz w:val="32"/>
          <w:szCs w:val="32"/>
          <w:lang w:val="en-US" w:eastAsia="zh-CN"/>
        </w:rPr>
        <w:t>。</w:t>
      </w:r>
    </w:p>
    <w:p w14:paraId="2269188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（三）地方政府债务还本付息情况</w:t>
      </w:r>
    </w:p>
    <w:p w14:paraId="4E5DD48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年预计偿还地方政府</w:t>
      </w:r>
      <w:r>
        <w:rPr>
          <w:rFonts w:hint="eastAsia" w:ascii="仿宋_GB2312" w:eastAsia="仿宋_GB2312"/>
          <w:color w:val="000000"/>
          <w:sz w:val="32"/>
          <w:szCs w:val="32"/>
          <w:lang w:eastAsia="zh-CN"/>
        </w:rPr>
        <w:t>债券本金</w:t>
      </w:r>
      <w:r>
        <w:rPr>
          <w:rFonts w:hint="eastAsia" w:ascii="仿宋_GB2312" w:eastAsia="仿宋_GB2312"/>
          <w:color w:val="0000FF"/>
          <w:sz w:val="32"/>
          <w:szCs w:val="32"/>
          <w:lang w:val="en-US" w:eastAsia="zh-CN"/>
        </w:rPr>
        <w:t>37138.56</w:t>
      </w:r>
      <w:r>
        <w:rPr>
          <w:rFonts w:hint="eastAsia" w:ascii="仿宋_GB2312" w:eastAsia="仿宋_GB2312"/>
          <w:color w:val="000000"/>
          <w:sz w:val="32"/>
          <w:szCs w:val="32"/>
          <w:lang w:val="en-US" w:eastAsia="zh-CN"/>
        </w:rPr>
        <w:t>万元，其中偿还</w:t>
      </w:r>
      <w:r>
        <w:rPr>
          <w:rFonts w:hint="eastAsia" w:ascii="仿宋_GB2312" w:eastAsia="仿宋_GB2312"/>
          <w:color w:val="000000"/>
          <w:sz w:val="32"/>
          <w:szCs w:val="32"/>
        </w:rPr>
        <w:t>一般债券本金</w:t>
      </w:r>
      <w:r>
        <w:rPr>
          <w:rFonts w:hint="eastAsia" w:ascii="仿宋_GB2312" w:eastAsia="仿宋_GB2312"/>
          <w:color w:val="0000FF"/>
          <w:sz w:val="32"/>
          <w:szCs w:val="32"/>
          <w:lang w:val="en-US" w:eastAsia="zh-CN"/>
        </w:rPr>
        <w:t>35338.56</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，偿还专项债券本金</w:t>
      </w:r>
      <w:r>
        <w:rPr>
          <w:rFonts w:hint="eastAsia" w:ascii="仿宋_GB2312" w:eastAsia="仿宋_GB2312"/>
          <w:color w:val="0000FF"/>
          <w:sz w:val="32"/>
          <w:szCs w:val="32"/>
          <w:lang w:val="en-US" w:eastAsia="zh-CN"/>
        </w:rPr>
        <w:t>1800</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；支付地方政府债券利息</w:t>
      </w:r>
      <w:r>
        <w:rPr>
          <w:rFonts w:hint="eastAsia" w:ascii="仿宋_GB2312" w:eastAsia="仿宋_GB2312"/>
          <w:color w:val="0000FF"/>
          <w:sz w:val="32"/>
          <w:szCs w:val="32"/>
          <w:lang w:val="en-US" w:eastAsia="zh-CN"/>
        </w:rPr>
        <w:t>22044.50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元，其中一般债券利息</w:t>
      </w:r>
      <w:r>
        <w:rPr>
          <w:rFonts w:hint="eastAsia" w:ascii="仿宋_GB2312" w:eastAsia="仿宋_GB2312"/>
          <w:color w:val="0000FF"/>
          <w:sz w:val="32"/>
          <w:szCs w:val="32"/>
          <w:lang w:val="en-US" w:eastAsia="zh-CN"/>
        </w:rPr>
        <w:t>8913.99</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元，专项债券利息</w:t>
      </w:r>
      <w:r>
        <w:rPr>
          <w:rFonts w:hint="eastAsia" w:ascii="仿宋_GB2312" w:eastAsia="仿宋_GB2312"/>
          <w:color w:val="0000FF"/>
          <w:sz w:val="32"/>
          <w:szCs w:val="32"/>
          <w:lang w:val="en-US" w:eastAsia="zh-CN"/>
        </w:rPr>
        <w:t>13130.51</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bookmarkStart w:id="0" w:name="_GoBack"/>
      <w:bookmarkEnd w:id="0"/>
    </w:p>
    <w:p w14:paraId="61808F4A">
      <w:pPr>
        <w:numPr>
          <w:ilvl w:val="0"/>
          <w:numId w:val="1"/>
        </w:numPr>
        <w:wordWrap/>
        <w:spacing w:line="560" w:lineRule="exact"/>
        <w:ind w:firstLine="643" w:firstLineChars="20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预算绩效管理工作开展情况</w:t>
      </w:r>
    </w:p>
    <w:p w14:paraId="34E5C6D8">
      <w:pPr>
        <w:wordWrap/>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年预算绩效工作开展情况</w:t>
      </w:r>
    </w:p>
    <w:p w14:paraId="61D71D21">
      <w:pPr>
        <w:pStyle w:val="2"/>
        <w:wordWrap/>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cs="宋体"/>
          <w:b/>
          <w:sz w:val="32"/>
          <w:szCs w:val="32"/>
        </w:rPr>
        <w:t>1、</w:t>
      </w:r>
      <w:r>
        <w:rPr>
          <w:rFonts w:hint="eastAsia" w:ascii="仿宋_GB2312" w:hAnsi="仿宋" w:eastAsia="仿宋_GB2312" w:cs="宋体"/>
          <w:b/>
          <w:color w:val="000000"/>
          <w:sz w:val="32"/>
          <w:szCs w:val="32"/>
        </w:rPr>
        <w:t>加快制度建设。</w:t>
      </w:r>
      <w:r>
        <w:rPr>
          <w:rFonts w:hint="eastAsia" w:ascii="仿宋_GB2312" w:hAnsi="仿宋" w:eastAsia="仿宋_GB2312" w:cs="宋体"/>
          <w:color w:val="000000"/>
          <w:sz w:val="32"/>
          <w:szCs w:val="32"/>
        </w:rPr>
        <w:t>出台</w:t>
      </w:r>
      <w:r>
        <w:rPr>
          <w:rFonts w:hint="eastAsia" w:ascii="仿宋_GB2312" w:hAnsi="Times New Roman" w:eastAsia="仿宋_GB2312" w:cs="Times New Roman"/>
          <w:color w:val="000000"/>
          <w:kern w:val="2"/>
          <w:sz w:val="32"/>
          <w:szCs w:val="32"/>
          <w:lang w:val="en-US" w:eastAsia="zh-CN" w:bidi="ar-SA"/>
        </w:rPr>
        <w:t>《关于建立全面预算绩效管理工作协同联动机制的意见》（凤财联发[2023]4号）；《关于全面实施预算绩效管理的实施意见》（凤政办发[2023]6号）</w:t>
      </w:r>
      <w:r>
        <w:rPr>
          <w:rFonts w:hint="eastAsia" w:ascii="仿宋_GB2312" w:hAnsi="仿宋" w:eastAsia="仿宋_GB2312" w:cs="宋体"/>
          <w:color w:val="000000"/>
          <w:sz w:val="32"/>
          <w:szCs w:val="32"/>
        </w:rPr>
        <w:t>等制度文件，加快构建全方位、全过程、全覆盖预算绩效管理体系</w:t>
      </w:r>
      <w:r>
        <w:rPr>
          <w:rFonts w:hint="eastAsia" w:ascii="仿宋_GB2312" w:hAnsi="仿宋" w:eastAsia="仿宋_GB2312" w:cs="宋体"/>
          <w:color w:val="000000"/>
          <w:sz w:val="32"/>
          <w:szCs w:val="32"/>
          <w:shd w:val="clear" w:color="auto" w:fill="FFFFFF"/>
        </w:rPr>
        <w:t>。</w:t>
      </w:r>
    </w:p>
    <w:p w14:paraId="187B3F6A">
      <w:pPr>
        <w:pStyle w:val="2"/>
        <w:wordWrap/>
        <w:spacing w:line="560" w:lineRule="exact"/>
        <w:ind w:firstLine="643" w:firstLineChars="200"/>
        <w:textAlignment w:val="auto"/>
        <w:rPr>
          <w:rFonts w:hint="eastAsia" w:ascii="仿宋_GB2312" w:hAnsi="仿宋" w:eastAsia="仿宋_GB2312" w:cs="宋体"/>
          <w:b/>
          <w:sz w:val="32"/>
          <w:szCs w:val="32"/>
        </w:rPr>
      </w:pPr>
      <w:r>
        <w:rPr>
          <w:rFonts w:hint="eastAsia" w:ascii="仿宋_GB2312" w:hAnsi="仿宋" w:eastAsia="仿宋_GB2312" w:cs="宋体"/>
          <w:b/>
          <w:sz w:val="32"/>
          <w:szCs w:val="32"/>
        </w:rPr>
        <w:t>2、</w:t>
      </w:r>
      <w:r>
        <w:rPr>
          <w:rFonts w:hint="eastAsia" w:ascii="仿宋_GB2312" w:hAnsi="仿宋" w:eastAsia="仿宋_GB2312" w:cs="宋体"/>
          <w:b/>
          <w:sz w:val="32"/>
          <w:szCs w:val="32"/>
          <w:lang w:eastAsia="zh-CN"/>
        </w:rPr>
        <w:t>开展</w:t>
      </w:r>
      <w:r>
        <w:rPr>
          <w:rFonts w:hint="eastAsia" w:ascii="仿宋_GB2312" w:hAnsi="仿宋" w:eastAsia="仿宋_GB2312" w:cs="宋体"/>
          <w:b/>
          <w:sz w:val="32"/>
          <w:szCs w:val="32"/>
        </w:rPr>
        <w:t>事前绩效评估。</w:t>
      </w:r>
    </w:p>
    <w:p w14:paraId="38322224">
      <w:pPr>
        <w:pStyle w:val="2"/>
        <w:spacing w:line="360" w:lineRule="auto"/>
        <w:ind w:firstLine="643"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kern w:val="2"/>
          <w:sz w:val="32"/>
          <w:szCs w:val="32"/>
          <w:lang w:val="en-US" w:eastAsia="zh-CN" w:bidi="ar-SA"/>
        </w:rPr>
        <w:t>预算部门事前绩效评估：</w:t>
      </w:r>
      <w:r>
        <w:rPr>
          <w:rFonts w:hint="eastAsia" w:ascii="仿宋_GB2312" w:hAnsi="Times New Roman" w:eastAsia="仿宋_GB2312" w:cs="Times New Roman"/>
          <w:color w:val="000000"/>
          <w:kern w:val="2"/>
          <w:sz w:val="32"/>
          <w:szCs w:val="32"/>
          <w:lang w:val="en-US" w:eastAsia="zh-CN" w:bidi="ar-SA"/>
        </w:rPr>
        <w:t>按照《湖南省政府债务项目绩效管理暂行办法》文件要求，对拟申报政府债券需求的项目开展了事前绩效评估，评估结果作为项目立项的必要条件。2024年预算部门共申报政府专项债券项目37个，财政部门对申报的专项债券项目事前绩效评估报告进行审核，经财政部门审核通过的项目，纳入本级政府债券需求清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省财政厅批复项目4个，金额共计20500万元。</w:t>
      </w:r>
    </w:p>
    <w:p w14:paraId="2A83782E">
      <w:pPr>
        <w:pStyle w:val="2"/>
        <w:spacing w:line="360" w:lineRule="auto"/>
        <w:ind w:firstLine="643"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财政部门事前绩效评估：</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根据工作部署，财政部门对拟新增或重大延续项目开展事前绩效评估，2024年选择凤凰县垃圾分类资源综合利用项目、凤凰产业开发区配套基础设施建设项目、凤凰县2023年城镇老旧小区改造及配套基础实施建设项目、凤凰县新能源汽车充电桩建设项目四个项目进行事前绩效评估。对项目设立必要性、投入经济性、绩效目标合理性、实施方案可行性、筹资合规性等方面进行客观、公正的评估。对评估结果为“优秀”或“良好”，进入预算编审下一环节。</w:t>
      </w:r>
    </w:p>
    <w:p w14:paraId="421ED6C3">
      <w:pPr>
        <w:numPr>
          <w:ilvl w:val="0"/>
          <w:numId w:val="2"/>
        </w:numPr>
        <w:spacing w:after="0" w:line="360" w:lineRule="auto"/>
        <w:ind w:firstLine="643" w:firstLineChars="200"/>
        <w:rPr>
          <w:rFonts w:ascii="宋体" w:hAnsi="宋体" w:eastAsia="宋体" w:cs="宋体"/>
          <w:b/>
          <w:color w:val="000000" w:themeColor="text1"/>
          <w:sz w:val="30"/>
          <w:szCs w:val="30"/>
          <w14:textFill>
            <w14:solidFill>
              <w14:schemeClr w14:val="tx1"/>
            </w14:solidFill>
          </w14:textFill>
        </w:rPr>
      </w:pPr>
      <w:r>
        <w:rPr>
          <w:rFonts w:hint="eastAsia" w:ascii="仿宋_GB2312" w:hAnsi="仿宋" w:eastAsia="仿宋_GB2312" w:cs="宋体"/>
          <w:b/>
          <w:color w:val="000000" w:themeColor="text1"/>
          <w:sz w:val="32"/>
          <w:szCs w:val="32"/>
          <w14:textFill>
            <w14:solidFill>
              <w14:schemeClr w14:val="tx1"/>
            </w14:solidFill>
          </w14:textFill>
        </w:rPr>
        <w:t>绩效目标全覆盖。</w:t>
      </w:r>
    </w:p>
    <w:p w14:paraId="643673E8">
      <w:pPr>
        <w:numPr>
          <w:ilvl w:val="0"/>
          <w:numId w:val="0"/>
        </w:numPr>
        <w:spacing w:after="0" w:line="360" w:lineRule="auto"/>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cs="宋体"/>
          <w:b w:val="0"/>
          <w:bCs/>
          <w:color w:val="000000" w:themeColor="text1"/>
          <w:sz w:val="30"/>
          <w:szCs w:val="30"/>
          <w:lang w:val="en-US" w:eastAsia="zh-CN"/>
          <w14:textFill>
            <w14:solidFill>
              <w14:schemeClr w14:val="tx1"/>
            </w14:solidFill>
          </w14:textFill>
        </w:rPr>
        <w:t xml:space="preserve"> </w:t>
      </w:r>
      <w:r>
        <w:rPr>
          <w:rFonts w:hint="eastAsia" w:ascii="仿宋_GB2312" w:hAnsi="Times New Roman" w:eastAsia="仿宋_GB2312" w:cs="Times New Roman"/>
          <w:b/>
          <w:bCs w:val="0"/>
          <w:color w:val="000000" w:themeColor="text1"/>
          <w:kern w:val="2"/>
          <w:sz w:val="32"/>
          <w:szCs w:val="32"/>
          <w:lang w:val="en-US" w:eastAsia="zh-CN" w:bidi="ar-SA"/>
          <w14:textFill>
            <w14:solidFill>
              <w14:schemeClr w14:val="tx1"/>
            </w14:solidFill>
          </w14:textFill>
        </w:rPr>
        <w:t>本级绩效目标：</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进一步细化部门预算编制，对各项财政支出政策进行详细梳理，在预算编制中，要求各单位分项目、分标准、分档次进行细化编制；加大对县级专项资金和部门整体支出绩效目标编制的审核，做到无绩效无预算，无预算无支出的预算体制。将绩效目标提交县人大会审议，将批复后的绩效目标和预算同步公开，提高绩效目标约束力，提高资金使用效益。202</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4</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年共批复预算部门</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76</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个。同部门预算同布置、同申报、同审核、同批复、同公开。</w:t>
      </w:r>
    </w:p>
    <w:p w14:paraId="71067991">
      <w:pPr>
        <w:pStyle w:val="13"/>
        <w:spacing w:line="240" w:lineRule="auto"/>
        <w:ind w:firstLine="0" w:firstLineChars="0"/>
        <w:rPr>
          <w:rFonts w:ascii="仿宋_GB2312" w:hAnsi="仿宋" w:eastAsia="仿宋_GB2312" w:cs="宋体"/>
          <w:b/>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财政衔接推进乡村振兴补助资金和统筹整合使用财政涉农资金绩效目标：</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严格按照《财政专项扶贫资金绩效管理操作指南（试行）》（财农办[2019]68号）文件要求 ，组织相关单位开展统筹整合资金和财政衔接资金绩效目标填报工作，批复项目218个，资金19876.3万元。</w:t>
      </w:r>
    </w:p>
    <w:p w14:paraId="002F5DA1">
      <w:pPr>
        <w:spacing w:after="0" w:line="360" w:lineRule="auto"/>
        <w:ind w:firstLine="643"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宋体"/>
          <w:b/>
          <w:color w:val="000000" w:themeColor="text1"/>
          <w:sz w:val="32"/>
          <w:szCs w:val="32"/>
          <w14:textFill>
            <w14:solidFill>
              <w14:schemeClr w14:val="tx1"/>
            </w14:solidFill>
          </w14:textFill>
        </w:rPr>
        <w:t>4、推进绩效评价。</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根据</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湖南省预算支出绩效评价管理办法</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文件精神，我们</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要求预算部门年度终了对照年度绩效目标全面开展绩效自评</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，在</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绩效自评</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的基础上</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财政部门</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选择部分重点项目开展现场</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绩效评价，实现了预算绩效全过程闭环管理。</w:t>
      </w:r>
    </w:p>
    <w:p w14:paraId="337868FB">
      <w:pPr>
        <w:spacing w:after="0" w:line="360" w:lineRule="auto"/>
        <w:ind w:firstLine="643"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县本级资金绩效自评</w:t>
      </w:r>
      <w:r>
        <w:rPr>
          <w:rFonts w:hint="eastAsia" w:ascii="仿宋_GB2312" w:eastAsia="仿宋_GB2312" w:cs="Times New Roman"/>
          <w:b/>
          <w:bCs/>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完成202</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4</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年度各预算单位部门整体支出和专项支出绩效自评工作，项目总数146个，完成143个，涉及金额322406.87万元。</w:t>
      </w:r>
    </w:p>
    <w:p w14:paraId="75455226">
      <w:pPr>
        <w:spacing w:after="0" w:line="360" w:lineRule="auto"/>
        <w:ind w:firstLine="643"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财政衔接推进乡村振兴补助资金和统筹整合使用财政涉农资金绩效自评</w:t>
      </w:r>
      <w:r>
        <w:rPr>
          <w:rFonts w:hint="eastAsia" w:ascii="仿宋_GB2312" w:eastAsia="仿宋_GB2312" w:cs="Times New Roman"/>
          <w:b/>
          <w:bCs/>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完成2023年度财政衔接推进乡村振兴补助资金和统筹整合使用财政涉农资金绩效自评，审核项目329个，涉及金额27754.44万元，完成比例100%。</w:t>
      </w:r>
    </w:p>
    <w:p w14:paraId="1B028D21">
      <w:pPr>
        <w:spacing w:after="0" w:line="360" w:lineRule="auto"/>
        <w:ind w:firstLine="643" w:firstLineChars="200"/>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财政衔接推进乡村振兴补助资金复核评价（暨财政重点评价）：</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在单位完成自评的基础上，选取县农业农村局农产品产地冷藏保险设施建设项目、公益性岗位项目、茶叶及农产品展销中心建设项目、猕猴桃示范基地建设项目、县水利局凤凰县沱江二期治理工程项目</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等7个项目</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进行绩效自评复核评价，金额共计2349万元。</w:t>
      </w:r>
    </w:p>
    <w:p w14:paraId="1380BAC5">
      <w:pPr>
        <w:numPr>
          <w:ilvl w:val="0"/>
          <w:numId w:val="3"/>
        </w:numPr>
        <w:spacing w:after="0" w:line="360" w:lineRule="auto"/>
        <w:ind w:firstLine="643" w:firstLineChars="200"/>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bCs/>
          <w:color w:val="000000" w:themeColor="text1"/>
          <w:kern w:val="2"/>
          <w:sz w:val="32"/>
          <w:szCs w:val="32"/>
          <w:lang w:val="en-US" w:eastAsia="zh-CN" w:bidi="ar-SA"/>
          <w14:textFill>
            <w14:solidFill>
              <w14:schemeClr w14:val="tx1"/>
            </w14:solidFill>
          </w14:textFill>
        </w:rPr>
        <w:t>财政支出绩效重点评价</w:t>
      </w:r>
      <w:r>
        <w:rPr>
          <w:rFonts w:hint="eastAsia" w:ascii="仿宋_GB2312" w:eastAsia="仿宋_GB2312" w:cs="Times New Roman"/>
          <w:b/>
          <w:bCs/>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在预算单位开展自评的基础上，选择县环保局生态功能区监测及考核经费、县就业服务中心创业担保贷款贴息以及教体局营养改善计划工作经费、营养餐村小企业供餐运输费等7个项目开展财政绩效重点评价工作，金额共计4013.84万元。</w:t>
      </w:r>
    </w:p>
    <w:p w14:paraId="02C961D3">
      <w:pPr>
        <w:pStyle w:val="6"/>
        <w:shd w:val="clear" w:color="auto" w:fill="FFFFFF"/>
        <w:spacing w:beforeAutospacing="0" w:afterAutospacing="0" w:line="360" w:lineRule="auto"/>
        <w:ind w:firstLine="643" w:firstLineChars="200"/>
        <w:jc w:val="both"/>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5、开展绩效监控。</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预算绩效运行监控是全过程预算绩效管理的关键。</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完成对各预算单位2023年1-9月本级预算安排的所有资金进行绩效运行监控，及时掌握了项目绩效目标实现情况、项目实施进程和资金支出进度，对项目实施过程中出现的问题提出整改措施，督促部门和单位落实支出责任，加快执行进度。今年共完成项目绩效运行监控352个，涉及金额42428.895万元，财政重点跟踪监控项目4个，涉及金额620.85万元。</w:t>
      </w:r>
    </w:p>
    <w:p w14:paraId="60F3606A">
      <w:pPr>
        <w:pStyle w:val="6"/>
        <w:shd w:val="clear" w:color="auto" w:fill="FFFFFF"/>
        <w:wordWrap/>
        <w:snapToGrid w:val="0"/>
        <w:spacing w:before="0" w:beforeAutospacing="0" w:after="0" w:afterAutospacing="0" w:line="560" w:lineRule="exact"/>
        <w:ind w:firstLine="643"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6、加强绩效评价结果应用。</w:t>
      </w:r>
      <w:r>
        <w:rPr>
          <w:rFonts w:hint="eastAsia" w:ascii="仿宋_GB2312" w:hAnsi="仿宋" w:eastAsia="仿宋_GB2312"/>
          <w:color w:val="000000" w:themeColor="text1"/>
          <w:sz w:val="32"/>
          <w:szCs w:val="32"/>
          <w14:textFill>
            <w14:solidFill>
              <w14:schemeClr w14:val="tx1"/>
            </w14:solidFill>
          </w14:textFill>
        </w:rPr>
        <w:t>绩效评价结要作为财政部门安排部门预算的重要依据，为预算编制提供参考。对绩效评价结果为优和良的，在下一预算年度的同类项目中优先予以安排；对绩效评价结果为较差、差的项目安排下一预算年度同类项目资金时要予以调减或取消。</w:t>
      </w:r>
    </w:p>
    <w:p w14:paraId="709C334A">
      <w:pPr>
        <w:pStyle w:val="6"/>
        <w:shd w:val="clear" w:color="auto" w:fill="FFFFFF"/>
        <w:wordWrap/>
        <w:snapToGrid w:val="0"/>
        <w:spacing w:before="0" w:beforeAutospacing="0" w:after="0" w:afterAutospacing="0" w:line="560" w:lineRule="exact"/>
        <w:ind w:firstLine="643" w:firstLineChars="200"/>
        <w:jc w:val="both"/>
        <w:textAlignment w:val="auto"/>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（二）202</w:t>
      </w:r>
      <w:r>
        <w:rPr>
          <w:rFonts w:hint="eastAsia" w:ascii="仿宋_GB2312" w:hAnsi="仿宋" w:eastAsia="仿宋_GB2312"/>
          <w:b/>
          <w:color w:val="000000" w:themeColor="text1"/>
          <w:sz w:val="32"/>
          <w:szCs w:val="32"/>
          <w:lang w:val="en-US" w:eastAsia="zh-CN"/>
          <w14:textFill>
            <w14:solidFill>
              <w14:schemeClr w14:val="tx1"/>
            </w14:solidFill>
          </w14:textFill>
        </w:rPr>
        <w:t>5</w:t>
      </w:r>
      <w:r>
        <w:rPr>
          <w:rFonts w:hint="eastAsia" w:ascii="仿宋_GB2312" w:hAnsi="仿宋" w:eastAsia="仿宋_GB2312"/>
          <w:b/>
          <w:color w:val="000000" w:themeColor="text1"/>
          <w:sz w:val="32"/>
          <w:szCs w:val="32"/>
          <w14:textFill>
            <w14:solidFill>
              <w14:schemeClr w14:val="tx1"/>
            </w14:solidFill>
          </w14:textFill>
        </w:rPr>
        <w:t>年预算绩效管理工作计划</w:t>
      </w:r>
    </w:p>
    <w:p w14:paraId="027C9597">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强化绩效理念。</w:t>
      </w:r>
      <w:r>
        <w:rPr>
          <w:rFonts w:hint="eastAsia" w:ascii="仿宋_GB2312" w:hAnsi="仿宋" w:eastAsia="仿宋_GB2312"/>
          <w:color w:val="000000" w:themeColor="text1"/>
          <w:sz w:val="32"/>
          <w:szCs w:val="32"/>
          <w14:textFill>
            <w14:solidFill>
              <w14:schemeClr w14:val="tx1"/>
            </w14:solidFill>
          </w14:textFill>
        </w:rPr>
        <w:t>落实主体责任，建立绩效问责机制，将预算绩效管理工作纳入对地方政府绩效评估和干部政</w:t>
      </w:r>
      <w:r>
        <w:rPr>
          <w:rFonts w:hint="eastAsia" w:ascii="仿宋_GB2312" w:hAnsi="仿宋" w:eastAsia="仿宋_GB2312"/>
          <w:sz w:val="32"/>
          <w:szCs w:val="32"/>
        </w:rPr>
        <w:t>绩考核范畴。建立部门预算绩效管理责任制度，强化部门的预算编制和执行主体责任，形成“谁做事谁花钱、谁花钱谁担责”的制度，明确责任，建立内部协调机制，加强单位内部协调合作。从预算编制到执行，部门都要切实负起责任，提高单位对财政资金使用绩效的重视和增强开展绩效管理工作的自觉性。</w:t>
      </w:r>
    </w:p>
    <w:p w14:paraId="5DC9A05B">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提高预算绩效目标的科学性。</w:t>
      </w:r>
      <w:r>
        <w:rPr>
          <w:rFonts w:hint="eastAsia" w:ascii="仿宋_GB2312" w:hAnsi="仿宋" w:eastAsia="仿宋_GB2312"/>
          <w:sz w:val="32"/>
          <w:szCs w:val="32"/>
        </w:rPr>
        <w:t>单位要设定符合实际情况的预算绩效目标，对设定的人绩效目标进行调查和分析，对其实现效果进行分析，确保绩效目标的科学性。重点关注财政支出效益，尤其是社会效益。积极开展事前绩效评估工作，提高预算绩效管理的预见性。财政部门加强审核，重点审核单位绩效目标与各部门只能之间的联系以及相应资金规模和绩效目标之间的匹配性，以提高预算绩效目标的科学性。</w:t>
      </w:r>
    </w:p>
    <w:p w14:paraId="2564626B">
      <w:pPr>
        <w:pStyle w:val="14"/>
        <w:wordWrap/>
        <w:spacing w:line="56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强化绩效评价结果的应用。</w:t>
      </w:r>
      <w:r>
        <w:rPr>
          <w:rFonts w:hint="eastAsia" w:ascii="仿宋_GB2312" w:hAnsi="仿宋" w:eastAsia="仿宋_GB2312"/>
          <w:sz w:val="32"/>
          <w:szCs w:val="32"/>
        </w:rPr>
        <w:t>建立绩效评价结果问责制度，进一步完善绩效评价结果的反馈整改和应用机制，对绩效评价结果为差的项目负责人要进行约谈，问责问效。将绩效评价结果向社会公开，增强部门（单位）的责任感。将评价结果作为安排以后年度预算的重要依据，对评价结果优和良的项目优先安排，对评价结果较差、差的项目在预算安排时核减或取消，切实发挥绩效评价工作的应有作用。</w:t>
      </w:r>
    </w:p>
    <w:p w14:paraId="27BE704F">
      <w:pPr>
        <w:pStyle w:val="14"/>
        <w:wordWrap/>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加强队伍建设。</w:t>
      </w:r>
      <w:r>
        <w:rPr>
          <w:rFonts w:hint="eastAsia" w:ascii="仿宋_GB2312" w:hAnsi="仿宋" w:eastAsia="仿宋_GB2312"/>
          <w:sz w:val="32"/>
          <w:szCs w:val="32"/>
        </w:rPr>
        <w:t>完善机构职能职责，充实预算绩效管理工作队伍，把能力强、敢于创新的人员充实到绩效管理队伍来，为绩效管理工作的开展提供人才保障，建设一支素质过硬的预算绩效管理队伍。财政部门要加强对预算绩效管理的培训，组织财务人员及相关部门人员积极参与学习预算绩效管理政策理论、规章制度等，提高其专业素养和业务能力，调动全体人员绩效管理工作的积极性，确保预算绩效管理顺利落实。预算单位要对各岗位职责进行明确，保证人员岗位匹配，进一步提高预算绩效管理工作的成效。</w:t>
      </w:r>
    </w:p>
    <w:p w14:paraId="04D57A83">
      <w:pPr>
        <w:pStyle w:val="14"/>
        <w:wordWrap/>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认真完成上级交办工作任务。</w:t>
      </w:r>
    </w:p>
    <w:p w14:paraId="7E51EE6A">
      <w:pPr>
        <w:pStyle w:val="14"/>
        <w:wordWrap/>
        <w:spacing w:line="560" w:lineRule="exact"/>
        <w:ind w:firstLine="640" w:firstLineChars="200"/>
        <w:textAlignment w:val="auto"/>
        <w:rPr>
          <w:rFonts w:hint="eastAsia" w:ascii="仿宋_GB2312" w:hAnsi="仿宋" w:eastAsia="仿宋_GB2312"/>
          <w:sz w:val="32"/>
          <w:szCs w:val="32"/>
        </w:rPr>
      </w:pPr>
    </w:p>
    <w:p w14:paraId="0B970DCB">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p>
    <w:p w14:paraId="63456746">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sdtPr>
    <w:sdtContent>
      <w:p w14:paraId="54CD8ED4">
        <w:pPr>
          <w:pStyle w:val="4"/>
          <w:jc w:val="center"/>
        </w:pPr>
        <w:r>
          <w:fldChar w:fldCharType="begin"/>
        </w:r>
        <w:r>
          <w:instrText xml:space="preserve">PAGE   \* MERGEFORMAT</w:instrText>
        </w:r>
        <w:r>
          <w:fldChar w:fldCharType="separate"/>
        </w:r>
        <w:r>
          <w:rPr>
            <w:lang w:val="zh-CN"/>
          </w:rPr>
          <w:t>3</w:t>
        </w:r>
        <w:r>
          <w:fldChar w:fldCharType="end"/>
        </w:r>
      </w:p>
    </w:sdtContent>
  </w:sdt>
  <w:p w14:paraId="557BD3D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D0F61"/>
    <w:multiLevelType w:val="singleLevel"/>
    <w:tmpl w:val="A9DD0F61"/>
    <w:lvl w:ilvl="0" w:tentative="0">
      <w:start w:val="4"/>
      <w:numFmt w:val="decimal"/>
      <w:suff w:val="nothing"/>
      <w:lvlText w:val="%1、"/>
      <w:lvlJc w:val="left"/>
    </w:lvl>
  </w:abstractNum>
  <w:abstractNum w:abstractNumId="1">
    <w:nsid w:val="FDAE06DB"/>
    <w:multiLevelType w:val="singleLevel"/>
    <w:tmpl w:val="FDAE06DB"/>
    <w:lvl w:ilvl="0" w:tentative="0">
      <w:start w:val="3"/>
      <w:numFmt w:val="chineseCounting"/>
      <w:suff w:val="nothing"/>
      <w:lvlText w:val="%1、"/>
      <w:lvlJc w:val="left"/>
      <w:rPr>
        <w:rFonts w:hint="eastAsia"/>
      </w:rPr>
    </w:lvl>
  </w:abstractNum>
  <w:abstractNum w:abstractNumId="2">
    <w:nsid w:val="65E13536"/>
    <w:multiLevelType w:val="singleLevel"/>
    <w:tmpl w:val="65E13536"/>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TQxOGVjMjA2MDMyYjk2ZDFiNzg1Njk0MDM0ZTYifQ=="/>
  </w:docVars>
  <w:rsids>
    <w:rsidRoot w:val="000B6AE1"/>
    <w:rsid w:val="00015CD9"/>
    <w:rsid w:val="000557EB"/>
    <w:rsid w:val="00093D7A"/>
    <w:rsid w:val="000A1A30"/>
    <w:rsid w:val="000B6AE1"/>
    <w:rsid w:val="000D4BD7"/>
    <w:rsid w:val="000F7E78"/>
    <w:rsid w:val="00100C5C"/>
    <w:rsid w:val="00155121"/>
    <w:rsid w:val="00176204"/>
    <w:rsid w:val="001A0286"/>
    <w:rsid w:val="001C68F0"/>
    <w:rsid w:val="001D4771"/>
    <w:rsid w:val="001F273F"/>
    <w:rsid w:val="00203D10"/>
    <w:rsid w:val="00216247"/>
    <w:rsid w:val="002940DB"/>
    <w:rsid w:val="002E1DEC"/>
    <w:rsid w:val="002E267D"/>
    <w:rsid w:val="002F2CE5"/>
    <w:rsid w:val="003175C7"/>
    <w:rsid w:val="0035079C"/>
    <w:rsid w:val="00351616"/>
    <w:rsid w:val="00355CE0"/>
    <w:rsid w:val="0035791F"/>
    <w:rsid w:val="003659B7"/>
    <w:rsid w:val="003A3FC8"/>
    <w:rsid w:val="003B5D1D"/>
    <w:rsid w:val="003C1836"/>
    <w:rsid w:val="003C4369"/>
    <w:rsid w:val="00443FA5"/>
    <w:rsid w:val="004462AC"/>
    <w:rsid w:val="00446714"/>
    <w:rsid w:val="00447E96"/>
    <w:rsid w:val="00452FBE"/>
    <w:rsid w:val="004A5428"/>
    <w:rsid w:val="004B21D0"/>
    <w:rsid w:val="004B403D"/>
    <w:rsid w:val="004B4C07"/>
    <w:rsid w:val="004B62D2"/>
    <w:rsid w:val="004C4EFA"/>
    <w:rsid w:val="004F0050"/>
    <w:rsid w:val="0050636A"/>
    <w:rsid w:val="00511BC0"/>
    <w:rsid w:val="005263DE"/>
    <w:rsid w:val="00531034"/>
    <w:rsid w:val="00560BE9"/>
    <w:rsid w:val="005F022A"/>
    <w:rsid w:val="006024FC"/>
    <w:rsid w:val="00621496"/>
    <w:rsid w:val="00631336"/>
    <w:rsid w:val="00635833"/>
    <w:rsid w:val="006651BB"/>
    <w:rsid w:val="00681BF9"/>
    <w:rsid w:val="006A3D3E"/>
    <w:rsid w:val="0076337D"/>
    <w:rsid w:val="00787EE1"/>
    <w:rsid w:val="007929C0"/>
    <w:rsid w:val="007C10C5"/>
    <w:rsid w:val="00837699"/>
    <w:rsid w:val="00842CE0"/>
    <w:rsid w:val="00850492"/>
    <w:rsid w:val="00896E93"/>
    <w:rsid w:val="008A41A6"/>
    <w:rsid w:val="008A5F48"/>
    <w:rsid w:val="008B683D"/>
    <w:rsid w:val="008D2C80"/>
    <w:rsid w:val="008E16D0"/>
    <w:rsid w:val="00925293"/>
    <w:rsid w:val="00954F24"/>
    <w:rsid w:val="009553BB"/>
    <w:rsid w:val="00963776"/>
    <w:rsid w:val="009962EF"/>
    <w:rsid w:val="009A6349"/>
    <w:rsid w:val="00A14862"/>
    <w:rsid w:val="00A32BC1"/>
    <w:rsid w:val="00A376A1"/>
    <w:rsid w:val="00A6327A"/>
    <w:rsid w:val="00AA012D"/>
    <w:rsid w:val="00AB19B1"/>
    <w:rsid w:val="00AF23FF"/>
    <w:rsid w:val="00C012CE"/>
    <w:rsid w:val="00C05C96"/>
    <w:rsid w:val="00C17130"/>
    <w:rsid w:val="00C45E36"/>
    <w:rsid w:val="00C53849"/>
    <w:rsid w:val="00C809CB"/>
    <w:rsid w:val="00CA324F"/>
    <w:rsid w:val="00D01ACA"/>
    <w:rsid w:val="00D1072F"/>
    <w:rsid w:val="00D46030"/>
    <w:rsid w:val="00DD3547"/>
    <w:rsid w:val="00E23C25"/>
    <w:rsid w:val="00E26879"/>
    <w:rsid w:val="00E36C70"/>
    <w:rsid w:val="00E460F8"/>
    <w:rsid w:val="00E543E2"/>
    <w:rsid w:val="00EA0CD7"/>
    <w:rsid w:val="00EA3DCE"/>
    <w:rsid w:val="00EE2F2B"/>
    <w:rsid w:val="00EE7B7E"/>
    <w:rsid w:val="00F20035"/>
    <w:rsid w:val="00F2588F"/>
    <w:rsid w:val="00F4417A"/>
    <w:rsid w:val="00F85B3E"/>
    <w:rsid w:val="00F958DD"/>
    <w:rsid w:val="00FC11FA"/>
    <w:rsid w:val="01625FE4"/>
    <w:rsid w:val="034F184E"/>
    <w:rsid w:val="055E1370"/>
    <w:rsid w:val="05F2679A"/>
    <w:rsid w:val="068840E0"/>
    <w:rsid w:val="069759FF"/>
    <w:rsid w:val="07E06245"/>
    <w:rsid w:val="07F41CF0"/>
    <w:rsid w:val="082F071C"/>
    <w:rsid w:val="084D6066"/>
    <w:rsid w:val="087945FD"/>
    <w:rsid w:val="08C031E0"/>
    <w:rsid w:val="0A432ABB"/>
    <w:rsid w:val="0CA50BF5"/>
    <w:rsid w:val="0F37402F"/>
    <w:rsid w:val="0FC76F57"/>
    <w:rsid w:val="12066EFE"/>
    <w:rsid w:val="144521CA"/>
    <w:rsid w:val="15FC33FB"/>
    <w:rsid w:val="174258BA"/>
    <w:rsid w:val="180C38DD"/>
    <w:rsid w:val="181C1A7D"/>
    <w:rsid w:val="1A380A48"/>
    <w:rsid w:val="1BC73A1E"/>
    <w:rsid w:val="1C9B7278"/>
    <w:rsid w:val="1C9E5326"/>
    <w:rsid w:val="1D1E479A"/>
    <w:rsid w:val="1D610C3E"/>
    <w:rsid w:val="1E0D1F44"/>
    <w:rsid w:val="1E403E5B"/>
    <w:rsid w:val="1EAA78A7"/>
    <w:rsid w:val="1EC9050B"/>
    <w:rsid w:val="22A068A5"/>
    <w:rsid w:val="22A4339D"/>
    <w:rsid w:val="23E503BD"/>
    <w:rsid w:val="24004567"/>
    <w:rsid w:val="24577437"/>
    <w:rsid w:val="247E5126"/>
    <w:rsid w:val="27430553"/>
    <w:rsid w:val="27686607"/>
    <w:rsid w:val="293C086A"/>
    <w:rsid w:val="2A744225"/>
    <w:rsid w:val="2B7E174D"/>
    <w:rsid w:val="2B9236B2"/>
    <w:rsid w:val="2E0D4DCC"/>
    <w:rsid w:val="2E2269FB"/>
    <w:rsid w:val="2EBD74C2"/>
    <w:rsid w:val="305C0828"/>
    <w:rsid w:val="31741628"/>
    <w:rsid w:val="31AF12E5"/>
    <w:rsid w:val="35837547"/>
    <w:rsid w:val="36D13E55"/>
    <w:rsid w:val="37FB67FF"/>
    <w:rsid w:val="39272869"/>
    <w:rsid w:val="39785A2E"/>
    <w:rsid w:val="39F461CA"/>
    <w:rsid w:val="3A0D43FE"/>
    <w:rsid w:val="3BD5486D"/>
    <w:rsid w:val="3C0F196F"/>
    <w:rsid w:val="3C4F1F10"/>
    <w:rsid w:val="3D760650"/>
    <w:rsid w:val="3F213C9D"/>
    <w:rsid w:val="3F506382"/>
    <w:rsid w:val="3FCF126C"/>
    <w:rsid w:val="40F7192E"/>
    <w:rsid w:val="41370E78"/>
    <w:rsid w:val="41626C6A"/>
    <w:rsid w:val="427B45CE"/>
    <w:rsid w:val="43D81B43"/>
    <w:rsid w:val="441F3676"/>
    <w:rsid w:val="445D419E"/>
    <w:rsid w:val="47907658"/>
    <w:rsid w:val="48B02A50"/>
    <w:rsid w:val="491E6BB4"/>
    <w:rsid w:val="499F6890"/>
    <w:rsid w:val="4A2427F9"/>
    <w:rsid w:val="4B1D0ABD"/>
    <w:rsid w:val="4BED56B0"/>
    <w:rsid w:val="4CF64E8A"/>
    <w:rsid w:val="4D1447F2"/>
    <w:rsid w:val="4D9F4DD6"/>
    <w:rsid w:val="4DF028D7"/>
    <w:rsid w:val="4E3B678C"/>
    <w:rsid w:val="4F047401"/>
    <w:rsid w:val="4F1D4C56"/>
    <w:rsid w:val="516A2EB0"/>
    <w:rsid w:val="518B5993"/>
    <w:rsid w:val="52044FF4"/>
    <w:rsid w:val="52AA5964"/>
    <w:rsid w:val="53B846F7"/>
    <w:rsid w:val="542B10D2"/>
    <w:rsid w:val="54E74CA2"/>
    <w:rsid w:val="56372A0A"/>
    <w:rsid w:val="569B1D15"/>
    <w:rsid w:val="589E1C9B"/>
    <w:rsid w:val="58FE78A6"/>
    <w:rsid w:val="59110CD0"/>
    <w:rsid w:val="596C1498"/>
    <w:rsid w:val="5A137B90"/>
    <w:rsid w:val="5DEC31A5"/>
    <w:rsid w:val="5EFE3AD0"/>
    <w:rsid w:val="61AC39AF"/>
    <w:rsid w:val="62D06C0A"/>
    <w:rsid w:val="6322398C"/>
    <w:rsid w:val="638507E7"/>
    <w:rsid w:val="63D526D6"/>
    <w:rsid w:val="6411347A"/>
    <w:rsid w:val="647C69CB"/>
    <w:rsid w:val="64994927"/>
    <w:rsid w:val="675776D7"/>
    <w:rsid w:val="687D7CDB"/>
    <w:rsid w:val="690D1BD8"/>
    <w:rsid w:val="692D3DA5"/>
    <w:rsid w:val="6A4A6993"/>
    <w:rsid w:val="6AB838A2"/>
    <w:rsid w:val="6AF15573"/>
    <w:rsid w:val="6C5E6A93"/>
    <w:rsid w:val="6C627C64"/>
    <w:rsid w:val="6EB243C6"/>
    <w:rsid w:val="6FAB2CC2"/>
    <w:rsid w:val="6FED3D79"/>
    <w:rsid w:val="7106218C"/>
    <w:rsid w:val="71080B38"/>
    <w:rsid w:val="71A158EB"/>
    <w:rsid w:val="722E382D"/>
    <w:rsid w:val="724B750C"/>
    <w:rsid w:val="74F27081"/>
    <w:rsid w:val="758017B2"/>
    <w:rsid w:val="765F40D3"/>
    <w:rsid w:val="78A73656"/>
    <w:rsid w:val="78D37464"/>
    <w:rsid w:val="79240030"/>
    <w:rsid w:val="7A1654A8"/>
    <w:rsid w:val="7A1807E6"/>
    <w:rsid w:val="7E0F5027"/>
    <w:rsid w:val="7EAA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22"/>
    <w:rPr>
      <w:b/>
      <w:bCs/>
    </w:rPr>
  </w:style>
  <w:style w:type="character" w:customStyle="1" w:styleId="10">
    <w:name w:val="页眉 Char"/>
    <w:basedOn w:val="8"/>
    <w:link w:val="5"/>
    <w:autoRedefine/>
    <w:qFormat/>
    <w:uiPriority w:val="0"/>
    <w:rPr>
      <w:kern w:val="2"/>
      <w:sz w:val="18"/>
      <w:szCs w:val="18"/>
    </w:rPr>
  </w:style>
  <w:style w:type="character" w:customStyle="1" w:styleId="11">
    <w:name w:val="页脚 Char"/>
    <w:basedOn w:val="8"/>
    <w:link w:val="4"/>
    <w:autoRedefine/>
    <w:qFormat/>
    <w:uiPriority w:val="99"/>
    <w:rPr>
      <w:kern w:val="2"/>
      <w:sz w:val="18"/>
      <w:szCs w:val="18"/>
    </w:rPr>
  </w:style>
  <w:style w:type="character" w:customStyle="1" w:styleId="12">
    <w:name w:val="批注框文本 Char"/>
    <w:basedOn w:val="8"/>
    <w:link w:val="3"/>
    <w:autoRedefine/>
    <w:qFormat/>
    <w:uiPriority w:val="0"/>
    <w:rPr>
      <w:kern w:val="2"/>
      <w:sz w:val="18"/>
      <w:szCs w:val="18"/>
    </w:rPr>
  </w:style>
  <w:style w:type="paragraph" w:customStyle="1" w:styleId="13">
    <w:name w:val="p0"/>
    <w:autoRedefine/>
    <w:unhideWhenUsed/>
    <w:qFormat/>
    <w:uiPriority w:val="0"/>
    <w:rPr>
      <w:rFonts w:hint="eastAsia" w:ascii="Calibri" w:hAnsi="Calibri" w:eastAsia="宋体" w:cs="Times New Roman"/>
      <w:lang w:val="en-US" w:eastAsia="zh-CN" w:bidi="ar-SA"/>
    </w:rPr>
  </w:style>
  <w:style w:type="paragraph" w:customStyle="1" w:styleId="14">
    <w:name w:val="p15"/>
    <w:basedOn w:val="1"/>
    <w:autoRedefine/>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FC5C-4719-4F2A-942C-0A7F9C84C3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3107</Words>
  <Characters>3406</Characters>
  <Lines>14</Lines>
  <Paragraphs>3</Paragraphs>
  <TotalTime>0</TotalTime>
  <ScaleCrop>false</ScaleCrop>
  <LinksUpToDate>false</LinksUpToDate>
  <CharactersWithSpaces>3416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2020-02-03T07:22:00Z</dcterms:created>
  <dc:creator>陈杰 null</dc:creator>
  <cp:lastModifiedBy>小圣乐</cp:lastModifiedBy>
  <dcterms:modified xsi:type="dcterms:W3CDTF">2025-02-25T09:10:57Z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1FFB55BF0B2743D59ED698F1AAF9042C</vt:lpwstr>
  </property>
</Properties>
</file>