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570" w:lineRule="exact"/>
        <w:jc w:val="center"/>
        <w:rPr>
          <w:rFonts w:ascii="Times New Roman" w:hAnsi="Times New Roman" w:eastAsia="方正小标宋简体" w:cs="Times New Roman"/>
          <w:kern w:val="0"/>
          <w:sz w:val="44"/>
          <w:szCs w:val="44"/>
        </w:rPr>
      </w:pPr>
      <w:r>
        <w:rPr>
          <w:rFonts w:hint="eastAsia" w:ascii="Times New Roman" w:hAnsi="Times New Roman" w:eastAsia="方正小标宋简体" w:cs="Times New Roman"/>
          <w:bCs/>
          <w:kern w:val="0"/>
          <w:sz w:val="44"/>
          <w:szCs w:val="44"/>
        </w:rPr>
        <w:t>凤凰县</w:t>
      </w:r>
      <w:r>
        <w:rPr>
          <w:rFonts w:ascii="Times New Roman" w:hAnsi="Times New Roman" w:eastAsia="方正小标宋简体" w:cs="Times New Roman"/>
          <w:bCs/>
          <w:kern w:val="0"/>
          <w:sz w:val="44"/>
          <w:szCs w:val="44"/>
        </w:rPr>
        <w:t>第四次全国经济普查公报（第五号）</w:t>
      </w:r>
    </w:p>
    <w:p>
      <w:pPr>
        <w:widowControl/>
        <w:spacing w:line="570" w:lineRule="exact"/>
        <w:jc w:val="center"/>
        <w:rPr>
          <w:rFonts w:ascii="Times New Roman" w:hAnsi="Times New Roman" w:eastAsia="楷体_GB2312" w:cs="Times New Roman"/>
          <w:bCs/>
          <w:kern w:val="0"/>
          <w:sz w:val="36"/>
          <w:szCs w:val="32"/>
        </w:rPr>
      </w:pPr>
      <w:r>
        <w:rPr>
          <w:rFonts w:ascii="Times New Roman" w:hAnsi="Times New Roman" w:eastAsia="楷体_GB2312" w:cs="Times New Roman"/>
          <w:bCs/>
          <w:kern w:val="0"/>
          <w:sz w:val="36"/>
          <w:szCs w:val="32"/>
        </w:rPr>
        <w:t>——第三产业基本情况之二</w:t>
      </w:r>
    </w:p>
    <w:p>
      <w:pPr>
        <w:widowControl/>
        <w:spacing w:line="570" w:lineRule="exact"/>
        <w:jc w:val="center"/>
        <w:rPr>
          <w:rFonts w:ascii="Times New Roman" w:hAnsi="Times New Roman" w:eastAsia="楷体_GB2312" w:cs="Times New Roman"/>
          <w:kern w:val="0"/>
          <w:sz w:val="32"/>
          <w:szCs w:val="32"/>
        </w:rPr>
      </w:pPr>
      <w:bookmarkStart w:id="0" w:name="_GoBack"/>
      <w:bookmarkEnd w:id="0"/>
      <w:r>
        <w:rPr>
          <w:rFonts w:hint="eastAsia" w:ascii="Times New Roman" w:hAnsi="Times New Roman" w:eastAsia="楷体_GB2312" w:cs="Times New Roman"/>
          <w:kern w:val="0"/>
          <w:sz w:val="32"/>
          <w:szCs w:val="32"/>
        </w:rPr>
        <w:t>凤凰县</w:t>
      </w:r>
      <w:r>
        <w:rPr>
          <w:rFonts w:ascii="Times New Roman" w:hAnsi="Times New Roman" w:eastAsia="楷体_GB2312" w:cs="Times New Roman"/>
          <w:kern w:val="0"/>
          <w:sz w:val="32"/>
          <w:szCs w:val="32"/>
        </w:rPr>
        <w:t>统计局</w:t>
      </w:r>
    </w:p>
    <w:p>
      <w:pPr>
        <w:widowControl/>
        <w:spacing w:line="570" w:lineRule="exact"/>
        <w:jc w:val="center"/>
        <w:rPr>
          <w:rFonts w:ascii="Times New Roman" w:hAnsi="Times New Roman" w:eastAsia="楷体_GB2312" w:cs="Times New Roman"/>
          <w:kern w:val="0"/>
          <w:sz w:val="32"/>
          <w:szCs w:val="32"/>
        </w:rPr>
      </w:pPr>
      <w:r>
        <w:rPr>
          <w:rFonts w:hint="eastAsia" w:ascii="Times New Roman" w:hAnsi="Times New Roman" w:eastAsia="楷体_GB2312" w:cs="Times New Roman"/>
          <w:kern w:val="0"/>
          <w:sz w:val="32"/>
          <w:szCs w:val="32"/>
        </w:rPr>
        <w:t>凤凰县</w:t>
      </w:r>
      <w:r>
        <w:rPr>
          <w:rFonts w:ascii="Times New Roman" w:hAnsi="Times New Roman" w:eastAsia="楷体_GB2312" w:cs="Times New Roman"/>
          <w:kern w:val="0"/>
          <w:sz w:val="32"/>
          <w:szCs w:val="32"/>
        </w:rPr>
        <w:t>第四次全国经济普查领导小组办公室</w:t>
      </w:r>
    </w:p>
    <w:p>
      <w:pPr>
        <w:widowControl/>
        <w:spacing w:line="570" w:lineRule="exact"/>
        <w:jc w:val="center"/>
        <w:rPr>
          <w:rFonts w:hint="eastAsia" w:ascii="Times New Roman" w:hAnsi="Times New Roman" w:eastAsia="楷体_GB2312" w:cs="Times New Roman"/>
          <w:kern w:val="0"/>
          <w:sz w:val="32"/>
          <w:szCs w:val="32"/>
          <w:lang w:eastAsia="zh-CN"/>
        </w:rPr>
      </w:pPr>
      <w:r>
        <w:rPr>
          <w:rFonts w:hint="eastAsia" w:ascii="Times New Roman" w:hAnsi="Times New Roman" w:eastAsia="楷体_GB2312" w:cs="Times New Roman"/>
          <w:kern w:val="0"/>
          <w:sz w:val="32"/>
          <w:szCs w:val="32"/>
          <w:lang w:eastAsia="zh-CN"/>
        </w:rPr>
        <w:t>（</w:t>
      </w:r>
      <w:r>
        <w:rPr>
          <w:rFonts w:ascii="Times New Roman" w:hAnsi="Times New Roman" w:eastAsia="楷体_GB2312" w:cs="Times New Roman"/>
          <w:kern w:val="0"/>
          <w:sz w:val="32"/>
          <w:szCs w:val="32"/>
        </w:rPr>
        <w:t>2020年</w:t>
      </w:r>
      <w:r>
        <w:rPr>
          <w:rFonts w:hint="eastAsia" w:ascii="Times New Roman" w:hAnsi="Times New Roman" w:eastAsia="楷体_GB2312" w:cs="Times New Roman"/>
          <w:kern w:val="0"/>
          <w:sz w:val="32"/>
          <w:szCs w:val="32"/>
        </w:rPr>
        <w:t>6</w:t>
      </w:r>
      <w:r>
        <w:rPr>
          <w:rFonts w:ascii="Times New Roman" w:hAnsi="Times New Roman" w:eastAsia="楷体_GB2312" w:cs="Times New Roman"/>
          <w:kern w:val="0"/>
          <w:sz w:val="32"/>
          <w:szCs w:val="32"/>
        </w:rPr>
        <w:t>月</w:t>
      </w:r>
      <w:r>
        <w:rPr>
          <w:rFonts w:hint="eastAsia" w:ascii="Times New Roman" w:hAnsi="Times New Roman" w:eastAsia="楷体_GB2312" w:cs="Times New Roman"/>
          <w:kern w:val="0"/>
          <w:sz w:val="32"/>
          <w:szCs w:val="32"/>
        </w:rPr>
        <w:t>5</w:t>
      </w:r>
      <w:r>
        <w:rPr>
          <w:rFonts w:ascii="Times New Roman" w:hAnsi="Times New Roman" w:eastAsia="楷体_GB2312" w:cs="Times New Roman"/>
          <w:kern w:val="0"/>
          <w:sz w:val="32"/>
          <w:szCs w:val="32"/>
        </w:rPr>
        <w:t>日</w:t>
      </w:r>
      <w:r>
        <w:rPr>
          <w:rFonts w:hint="eastAsia" w:ascii="Times New Roman" w:hAnsi="Times New Roman" w:eastAsia="楷体_GB2312" w:cs="Times New Roman"/>
          <w:kern w:val="0"/>
          <w:sz w:val="32"/>
          <w:szCs w:val="32"/>
          <w:lang w:eastAsia="zh-CN"/>
        </w:rPr>
        <w:t>）</w:t>
      </w:r>
    </w:p>
    <w:p>
      <w:pPr>
        <w:rPr>
          <w:rFonts w:ascii="Times New Roman" w:hAnsi="Times New Roman" w:cs="Times New Roman"/>
        </w:rPr>
      </w:pP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根据第四次全国经济普查结果，现将我</w:t>
      </w:r>
      <w:r>
        <w:rPr>
          <w:rFonts w:hint="eastAsia" w:ascii="Times New Roman" w:hAnsi="Times New Roman" w:eastAsia="仿宋_GB2312" w:cs="Times New Roman"/>
          <w:sz w:val="32"/>
          <w:szCs w:val="32"/>
        </w:rPr>
        <w:t>县</w:t>
      </w:r>
      <w:r>
        <w:rPr>
          <w:rFonts w:ascii="Times New Roman" w:hAnsi="Times New Roman" w:eastAsia="仿宋_GB2312" w:cs="Times New Roman"/>
          <w:sz w:val="32"/>
          <w:szCs w:val="32"/>
        </w:rPr>
        <w:t>第三产业中科学研究和技术服务业，水利、环境和公共设施管理业，居民服务、修理和其他服务业，教育，卫生和社会工作，文化、体育和娱乐业，公共管理、社会保障和社会组织的主要数据公布如下：</w:t>
      </w:r>
    </w:p>
    <w:p>
      <w:pPr>
        <w:rPr>
          <w:rFonts w:ascii="Times New Roman" w:hAnsi="Times New Roman" w:eastAsia="黑体" w:cs="Times New Roman"/>
          <w:sz w:val="32"/>
          <w:szCs w:val="32"/>
        </w:rPr>
      </w:pPr>
      <w:r>
        <w:rPr>
          <w:rFonts w:ascii="Times New Roman" w:hAnsi="Times New Roman" w:eastAsia="仿宋_GB2312" w:cs="Times New Roman"/>
          <w:sz w:val="32"/>
          <w:szCs w:val="32"/>
        </w:rPr>
        <w:t>　</w:t>
      </w:r>
      <w:r>
        <w:rPr>
          <w:rFonts w:ascii="Times New Roman" w:hAnsi="Times New Roman" w:eastAsia="黑体" w:cs="Times New Roman"/>
          <w:sz w:val="32"/>
          <w:szCs w:val="32"/>
        </w:rPr>
        <w:t>　一、科学研究和技术服务业</w:t>
      </w:r>
    </w:p>
    <w:p>
      <w:pPr>
        <w:rPr>
          <w:rFonts w:ascii="Times New Roman" w:hAnsi="Times New Roman" w:eastAsia="仿宋_GB2312" w:cs="Times New Roman"/>
          <w:b/>
          <w:sz w:val="32"/>
          <w:szCs w:val="32"/>
        </w:rPr>
      </w:pPr>
      <w:r>
        <w:rPr>
          <w:rFonts w:ascii="Times New Roman" w:hAnsi="Times New Roman" w:eastAsia="黑体" w:cs="Times New Roman"/>
          <w:sz w:val="32"/>
          <w:szCs w:val="32"/>
        </w:rPr>
        <w:t>　　</w:t>
      </w:r>
      <w:r>
        <w:rPr>
          <w:rFonts w:ascii="Times New Roman" w:hAnsi="Times New Roman" w:eastAsia="仿宋_GB2312" w:cs="Times New Roman"/>
          <w:b/>
          <w:sz w:val="32"/>
          <w:szCs w:val="32"/>
        </w:rPr>
        <w:t>（一）法人单位数和从业人员。</w:t>
      </w:r>
    </w:p>
    <w:p>
      <w:pPr>
        <w:rPr>
          <w:rFonts w:ascii="Times New Roman" w:hAnsi="Times New Roman" w:eastAsia="仿宋_GB2312" w:cs="Times New Roman"/>
          <w:sz w:val="32"/>
          <w:szCs w:val="32"/>
        </w:rPr>
      </w:pPr>
      <w:r>
        <w:rPr>
          <w:rFonts w:ascii="Times New Roman" w:hAnsi="Times New Roman" w:eastAsia="仿宋_GB2312" w:cs="Times New Roman"/>
          <w:sz w:val="32"/>
          <w:szCs w:val="32"/>
        </w:rPr>
        <w:t>　　2018年末，全</w:t>
      </w:r>
      <w:r>
        <w:rPr>
          <w:rFonts w:hint="eastAsia" w:ascii="Times New Roman" w:hAnsi="Times New Roman" w:eastAsia="仿宋_GB2312" w:cs="Times New Roman"/>
          <w:sz w:val="32"/>
          <w:szCs w:val="32"/>
        </w:rPr>
        <w:t>县</w:t>
      </w:r>
      <w:r>
        <w:rPr>
          <w:rFonts w:ascii="Times New Roman" w:hAnsi="Times New Roman" w:eastAsia="仿宋_GB2312" w:cs="Times New Roman"/>
          <w:sz w:val="32"/>
          <w:szCs w:val="32"/>
        </w:rPr>
        <w:t>共有科学研究和技术服务业法人单位</w:t>
      </w:r>
      <w:r>
        <w:rPr>
          <w:rFonts w:hint="eastAsia" w:ascii="Times New Roman" w:hAnsi="Times New Roman" w:eastAsia="仿宋_GB2312" w:cs="Times New Roman"/>
          <w:sz w:val="32"/>
          <w:szCs w:val="32"/>
        </w:rPr>
        <w:t>529</w:t>
      </w:r>
      <w:r>
        <w:rPr>
          <w:rFonts w:ascii="Times New Roman" w:hAnsi="Times New Roman" w:eastAsia="仿宋_GB2312" w:cs="Times New Roman"/>
          <w:sz w:val="32"/>
          <w:szCs w:val="32"/>
        </w:rPr>
        <w:t>个，从业人员</w:t>
      </w:r>
      <w:r>
        <w:rPr>
          <w:rFonts w:hint="eastAsia" w:ascii="Times New Roman" w:hAnsi="Times New Roman" w:eastAsia="仿宋_GB2312" w:cs="Times New Roman"/>
          <w:sz w:val="32"/>
          <w:szCs w:val="32"/>
        </w:rPr>
        <w:t>661</w:t>
      </w:r>
      <w:r>
        <w:rPr>
          <w:rFonts w:ascii="Times New Roman" w:hAnsi="Times New Roman" w:eastAsia="仿宋_GB2312" w:cs="Times New Roman"/>
          <w:sz w:val="32"/>
          <w:szCs w:val="32"/>
        </w:rPr>
        <w:t>人。其中，企业法人单位</w:t>
      </w:r>
      <w:r>
        <w:rPr>
          <w:rFonts w:hint="eastAsia" w:ascii="Times New Roman" w:hAnsi="Times New Roman" w:eastAsia="仿宋_GB2312" w:cs="Times New Roman"/>
          <w:sz w:val="32"/>
          <w:szCs w:val="32"/>
        </w:rPr>
        <w:t>47</w:t>
      </w:r>
      <w:r>
        <w:rPr>
          <w:rFonts w:ascii="Times New Roman" w:hAnsi="Times New Roman" w:eastAsia="仿宋_GB2312" w:cs="Times New Roman"/>
          <w:sz w:val="32"/>
          <w:szCs w:val="32"/>
        </w:rPr>
        <w:t>个，从业人员</w:t>
      </w:r>
      <w:r>
        <w:rPr>
          <w:rFonts w:hint="eastAsia" w:ascii="Times New Roman" w:hAnsi="Times New Roman" w:eastAsia="仿宋_GB2312" w:cs="Times New Roman"/>
          <w:sz w:val="32"/>
          <w:szCs w:val="32"/>
        </w:rPr>
        <w:t>358</w:t>
      </w:r>
      <w:r>
        <w:rPr>
          <w:rFonts w:ascii="Times New Roman" w:hAnsi="Times New Roman" w:eastAsia="仿宋_GB2312" w:cs="Times New Roman"/>
          <w:sz w:val="32"/>
          <w:szCs w:val="32"/>
        </w:rPr>
        <w:t>人，</w:t>
      </w:r>
      <w:r>
        <w:rPr>
          <w:rFonts w:ascii="Times New Roman" w:hAnsi="Times New Roman" w:eastAsia="仿宋_GB2312" w:cs="Times New Roman"/>
          <w:color w:val="000000" w:themeColor="text1"/>
          <w:sz w:val="32"/>
          <w:szCs w:val="32"/>
        </w:rPr>
        <w:t>分别比2013年末增长</w:t>
      </w:r>
      <w:r>
        <w:rPr>
          <w:rFonts w:hint="eastAsia" w:ascii="Times New Roman" w:hAnsi="Times New Roman" w:eastAsia="仿宋_GB2312" w:cs="Times New Roman"/>
          <w:color w:val="000000" w:themeColor="text1"/>
          <w:sz w:val="32"/>
          <w:szCs w:val="32"/>
        </w:rPr>
        <w:t>487.5</w:t>
      </w:r>
      <w:r>
        <w:rPr>
          <w:rFonts w:ascii="Times New Roman" w:hAnsi="Times New Roman" w:eastAsia="仿宋_GB2312" w:cs="Times New Roman"/>
          <w:color w:val="000000" w:themeColor="text1"/>
          <w:sz w:val="32"/>
          <w:szCs w:val="32"/>
        </w:rPr>
        <w:t>%和</w:t>
      </w:r>
      <w:r>
        <w:rPr>
          <w:rFonts w:hint="eastAsia" w:ascii="Times New Roman" w:hAnsi="Times New Roman" w:eastAsia="仿宋_GB2312" w:cs="Times New Roman"/>
          <w:color w:val="000000" w:themeColor="text1"/>
          <w:sz w:val="32"/>
          <w:szCs w:val="32"/>
        </w:rPr>
        <w:t>94.6</w:t>
      </w:r>
      <w:r>
        <w:rPr>
          <w:rFonts w:ascii="Times New Roman" w:hAnsi="Times New Roman" w:eastAsia="仿宋_GB2312" w:cs="Times New Roman"/>
          <w:color w:val="000000" w:themeColor="text1"/>
          <w:sz w:val="32"/>
          <w:szCs w:val="32"/>
        </w:rPr>
        <w:t>%（</w:t>
      </w:r>
      <w:r>
        <w:rPr>
          <w:rFonts w:ascii="Times New Roman" w:hAnsi="Times New Roman" w:eastAsia="仿宋_GB2312" w:cs="Times New Roman"/>
          <w:sz w:val="32"/>
          <w:szCs w:val="32"/>
        </w:rPr>
        <w:t>详见表5-1）。</w:t>
      </w:r>
    </w:p>
    <w:p>
      <w:pPr>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ind w:firstLine="482" w:firstLineChars="200"/>
        <w:rPr>
          <w:rFonts w:ascii="Times New Roman" w:hAnsi="Times New Roman" w:cs="Times New Roman"/>
          <w:b/>
          <w:sz w:val="24"/>
          <w:szCs w:val="24"/>
        </w:rPr>
      </w:pPr>
      <w:r>
        <w:rPr>
          <w:rFonts w:ascii="Times New Roman" w:hAnsi="Times New Roman" w:cs="Times New Roman"/>
          <w:b/>
          <w:sz w:val="24"/>
          <w:szCs w:val="24"/>
        </w:rPr>
        <w:t>表5-1　按行业大类分组的科学研究和技术服务业企业法人单位和从业人员</w:t>
      </w:r>
    </w:p>
    <w:p>
      <w:pPr>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tbl>
      <w:tblPr>
        <w:tblStyle w:val="5"/>
        <w:tblW w:w="0" w:type="auto"/>
        <w:jc w:val="center"/>
        <w:tblLayout w:type="autofit"/>
        <w:tblCellMar>
          <w:top w:w="0" w:type="dxa"/>
          <w:left w:w="0" w:type="dxa"/>
          <w:bottom w:w="0" w:type="dxa"/>
          <w:right w:w="0" w:type="dxa"/>
        </w:tblCellMar>
      </w:tblPr>
      <w:tblGrid>
        <w:gridCol w:w="3047"/>
        <w:gridCol w:w="3159"/>
        <w:gridCol w:w="2625"/>
      </w:tblGrid>
      <w:tr>
        <w:tblPrEx>
          <w:tblCellMar>
            <w:top w:w="0" w:type="dxa"/>
            <w:left w:w="0" w:type="dxa"/>
            <w:bottom w:w="0" w:type="dxa"/>
            <w:right w:w="0" w:type="dxa"/>
          </w:tblCellMar>
        </w:tblPrEx>
        <w:trPr>
          <w:trHeight w:val="594" w:hRule="atLeast"/>
          <w:jc w:val="center"/>
        </w:trPr>
        <w:tc>
          <w:tcPr>
            <w:tcW w:w="3047" w:type="dxa"/>
            <w:tcBorders>
              <w:top w:val="single" w:color="000000" w:sz="12" w:space="0"/>
              <w:left w:val="nil"/>
              <w:bottom w:val="single" w:color="000000" w:sz="8" w:space="0"/>
              <w:right w:val="single" w:color="000000" w:sz="8" w:space="0"/>
            </w:tcBorders>
            <w:vAlign w:val="center"/>
          </w:tcPr>
          <w:p>
            <w:pPr>
              <w:widowControl/>
              <w:spacing w:line="240" w:lineRule="atLeast"/>
              <w:ind w:left="57" w:right="57"/>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 </w:t>
            </w:r>
          </w:p>
        </w:tc>
        <w:tc>
          <w:tcPr>
            <w:tcW w:w="3159" w:type="dxa"/>
            <w:tcBorders>
              <w:top w:val="single" w:color="000000" w:sz="12" w:space="0"/>
              <w:left w:val="nil"/>
              <w:bottom w:val="single" w:color="000000" w:sz="8" w:space="0"/>
              <w:right w:val="single" w:color="000000" w:sz="8" w:space="0"/>
            </w:tcBorders>
            <w:vAlign w:val="center"/>
          </w:tcPr>
          <w:p>
            <w:pPr>
              <w:widowControl/>
              <w:spacing w:line="240" w:lineRule="atLeast"/>
              <w:ind w:left="57" w:right="57"/>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企业法人单位（个）</w:t>
            </w:r>
          </w:p>
        </w:tc>
        <w:tc>
          <w:tcPr>
            <w:tcW w:w="2625" w:type="dxa"/>
            <w:tcBorders>
              <w:top w:val="single" w:color="000000" w:sz="12" w:space="0"/>
              <w:left w:val="nil"/>
              <w:bottom w:val="single" w:color="000000" w:sz="8" w:space="0"/>
              <w:right w:val="nil"/>
            </w:tcBorders>
            <w:vAlign w:val="center"/>
          </w:tcPr>
          <w:p>
            <w:pPr>
              <w:widowControl/>
              <w:spacing w:line="240" w:lineRule="atLeast"/>
              <w:ind w:left="57" w:right="57"/>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从业人员（人）</w:t>
            </w:r>
          </w:p>
        </w:tc>
      </w:tr>
      <w:tr>
        <w:tblPrEx>
          <w:tblCellMar>
            <w:top w:w="0" w:type="dxa"/>
            <w:left w:w="0" w:type="dxa"/>
            <w:bottom w:w="0" w:type="dxa"/>
            <w:right w:w="0" w:type="dxa"/>
          </w:tblCellMar>
        </w:tblPrEx>
        <w:trPr>
          <w:trHeight w:val="296" w:hRule="atLeast"/>
          <w:jc w:val="center"/>
        </w:trPr>
        <w:tc>
          <w:tcPr>
            <w:tcW w:w="3047"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合　计</w:t>
            </w:r>
          </w:p>
        </w:tc>
        <w:tc>
          <w:tcPr>
            <w:tcW w:w="3159" w:type="dxa"/>
            <w:tcBorders>
              <w:top w:val="nil"/>
              <w:left w:val="nil"/>
              <w:bottom w:val="nil"/>
              <w:right w:val="single" w:color="000000" w:sz="8" w:space="0"/>
            </w:tcBorders>
            <w:vAlign w:val="center"/>
          </w:tcPr>
          <w:p>
            <w:pPr>
              <w:widowControl/>
              <w:jc w:val="right"/>
              <w:rPr>
                <w:rFonts w:ascii="Times New Roman" w:hAnsi="Times New Roman" w:cs="Times New Roman"/>
                <w:b/>
                <w:szCs w:val="21"/>
              </w:rPr>
            </w:pPr>
            <w:r>
              <w:rPr>
                <w:rFonts w:hint="eastAsia" w:ascii="Times New Roman" w:hAnsi="Times New Roman" w:cs="Times New Roman"/>
                <w:b/>
                <w:szCs w:val="21"/>
              </w:rPr>
              <w:t>47</w:t>
            </w:r>
          </w:p>
        </w:tc>
        <w:tc>
          <w:tcPr>
            <w:tcW w:w="2625" w:type="dxa"/>
            <w:tcBorders>
              <w:top w:val="nil"/>
              <w:left w:val="nil"/>
              <w:bottom w:val="nil"/>
              <w:right w:val="nil"/>
            </w:tcBorders>
            <w:vAlign w:val="center"/>
          </w:tcPr>
          <w:p>
            <w:pPr>
              <w:widowControl/>
              <w:jc w:val="right"/>
              <w:rPr>
                <w:rFonts w:ascii="Times New Roman" w:hAnsi="Times New Roman" w:cs="Times New Roman"/>
                <w:b/>
                <w:szCs w:val="21"/>
              </w:rPr>
            </w:pPr>
            <w:r>
              <w:rPr>
                <w:rFonts w:hint="eastAsia" w:ascii="Times New Roman" w:hAnsi="Times New Roman" w:cs="Times New Roman"/>
                <w:b/>
                <w:szCs w:val="21"/>
              </w:rPr>
              <w:t>358</w:t>
            </w:r>
          </w:p>
        </w:tc>
      </w:tr>
      <w:tr>
        <w:tblPrEx>
          <w:tblCellMar>
            <w:top w:w="0" w:type="dxa"/>
            <w:left w:w="0" w:type="dxa"/>
            <w:bottom w:w="0" w:type="dxa"/>
            <w:right w:w="0" w:type="dxa"/>
          </w:tblCellMar>
        </w:tblPrEx>
        <w:trPr>
          <w:trHeight w:val="296" w:hRule="atLeast"/>
          <w:jc w:val="center"/>
        </w:trPr>
        <w:tc>
          <w:tcPr>
            <w:tcW w:w="3047"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研究和试验发展</w:t>
            </w:r>
          </w:p>
        </w:tc>
        <w:tc>
          <w:tcPr>
            <w:tcW w:w="3159" w:type="dxa"/>
            <w:tcBorders>
              <w:top w:val="nil"/>
              <w:left w:val="nil"/>
              <w:bottom w:val="nil"/>
              <w:right w:val="single" w:color="000000" w:sz="8" w:space="0"/>
            </w:tcBorders>
            <w:vAlign w:val="center"/>
          </w:tcPr>
          <w:p>
            <w:pPr>
              <w:jc w:val="right"/>
              <w:rPr>
                <w:rFonts w:ascii="Times New Roman" w:hAnsi="Times New Roman" w:cs="Times New Roman"/>
                <w:szCs w:val="21"/>
              </w:rPr>
            </w:pPr>
            <w:r>
              <w:rPr>
                <w:rFonts w:hint="eastAsia" w:ascii="Times New Roman" w:hAnsi="Times New Roman" w:cs="Times New Roman"/>
                <w:szCs w:val="21"/>
              </w:rPr>
              <w:t>4</w:t>
            </w:r>
          </w:p>
        </w:tc>
        <w:tc>
          <w:tcPr>
            <w:tcW w:w="2625" w:type="dxa"/>
            <w:tcBorders>
              <w:top w:val="nil"/>
              <w:left w:val="nil"/>
              <w:bottom w:val="nil"/>
              <w:right w:val="nil"/>
            </w:tcBorders>
            <w:vAlign w:val="center"/>
          </w:tcPr>
          <w:p>
            <w:pPr>
              <w:jc w:val="right"/>
              <w:rPr>
                <w:rFonts w:ascii="Times New Roman" w:hAnsi="Times New Roman" w:cs="Times New Roman"/>
                <w:szCs w:val="21"/>
              </w:rPr>
            </w:pPr>
            <w:r>
              <w:rPr>
                <w:rFonts w:hint="eastAsia" w:ascii="Times New Roman" w:hAnsi="Times New Roman" w:cs="Times New Roman"/>
                <w:szCs w:val="21"/>
              </w:rPr>
              <w:t>0</w:t>
            </w:r>
          </w:p>
        </w:tc>
      </w:tr>
      <w:tr>
        <w:tblPrEx>
          <w:tblCellMar>
            <w:top w:w="0" w:type="dxa"/>
            <w:left w:w="0" w:type="dxa"/>
            <w:bottom w:w="0" w:type="dxa"/>
            <w:right w:w="0" w:type="dxa"/>
          </w:tblCellMar>
        </w:tblPrEx>
        <w:trPr>
          <w:trHeight w:val="296" w:hRule="atLeast"/>
          <w:jc w:val="center"/>
        </w:trPr>
        <w:tc>
          <w:tcPr>
            <w:tcW w:w="3047"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专业技术服务业</w:t>
            </w:r>
          </w:p>
        </w:tc>
        <w:tc>
          <w:tcPr>
            <w:tcW w:w="3159" w:type="dxa"/>
            <w:tcBorders>
              <w:top w:val="nil"/>
              <w:left w:val="nil"/>
              <w:bottom w:val="nil"/>
              <w:right w:val="single" w:color="000000" w:sz="8" w:space="0"/>
            </w:tcBorders>
            <w:vAlign w:val="center"/>
          </w:tcPr>
          <w:p>
            <w:pPr>
              <w:jc w:val="right"/>
              <w:rPr>
                <w:rFonts w:ascii="Times New Roman" w:hAnsi="Times New Roman" w:cs="Times New Roman"/>
                <w:szCs w:val="21"/>
              </w:rPr>
            </w:pPr>
            <w:r>
              <w:rPr>
                <w:rFonts w:hint="eastAsia" w:ascii="Times New Roman" w:hAnsi="Times New Roman" w:cs="Times New Roman"/>
                <w:szCs w:val="21"/>
              </w:rPr>
              <w:t>23</w:t>
            </w:r>
          </w:p>
        </w:tc>
        <w:tc>
          <w:tcPr>
            <w:tcW w:w="2625" w:type="dxa"/>
            <w:tcBorders>
              <w:top w:val="nil"/>
              <w:left w:val="nil"/>
              <w:bottom w:val="nil"/>
              <w:right w:val="nil"/>
            </w:tcBorders>
            <w:vAlign w:val="center"/>
          </w:tcPr>
          <w:p>
            <w:pPr>
              <w:jc w:val="right"/>
              <w:rPr>
                <w:rFonts w:ascii="Times New Roman" w:hAnsi="Times New Roman" w:cs="Times New Roman"/>
                <w:szCs w:val="21"/>
              </w:rPr>
            </w:pPr>
            <w:r>
              <w:rPr>
                <w:rFonts w:hint="eastAsia" w:ascii="Times New Roman" w:hAnsi="Times New Roman" w:cs="Times New Roman"/>
                <w:szCs w:val="21"/>
              </w:rPr>
              <w:t>163</w:t>
            </w:r>
          </w:p>
        </w:tc>
      </w:tr>
      <w:tr>
        <w:tblPrEx>
          <w:tblCellMar>
            <w:top w:w="0" w:type="dxa"/>
            <w:left w:w="0" w:type="dxa"/>
            <w:bottom w:w="0" w:type="dxa"/>
            <w:right w:w="0" w:type="dxa"/>
          </w:tblCellMar>
        </w:tblPrEx>
        <w:trPr>
          <w:trHeight w:val="296" w:hRule="atLeast"/>
          <w:jc w:val="center"/>
        </w:trPr>
        <w:tc>
          <w:tcPr>
            <w:tcW w:w="3047" w:type="dxa"/>
            <w:tcBorders>
              <w:top w:val="nil"/>
              <w:left w:val="nil"/>
              <w:bottom w:val="single" w:color="000000" w:sz="12" w:space="0"/>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科技推广和应用服务业</w:t>
            </w:r>
          </w:p>
        </w:tc>
        <w:tc>
          <w:tcPr>
            <w:tcW w:w="3159" w:type="dxa"/>
            <w:tcBorders>
              <w:top w:val="nil"/>
              <w:left w:val="nil"/>
              <w:bottom w:val="single" w:color="000000" w:sz="12" w:space="0"/>
              <w:right w:val="single" w:color="000000" w:sz="8" w:space="0"/>
            </w:tcBorders>
            <w:vAlign w:val="center"/>
          </w:tcPr>
          <w:p>
            <w:pPr>
              <w:jc w:val="right"/>
              <w:rPr>
                <w:rFonts w:ascii="Times New Roman" w:hAnsi="Times New Roman" w:cs="Times New Roman"/>
                <w:szCs w:val="21"/>
              </w:rPr>
            </w:pPr>
            <w:r>
              <w:rPr>
                <w:rFonts w:hint="eastAsia" w:ascii="Times New Roman" w:hAnsi="Times New Roman" w:cs="Times New Roman"/>
                <w:szCs w:val="21"/>
              </w:rPr>
              <w:t>20</w:t>
            </w:r>
          </w:p>
        </w:tc>
        <w:tc>
          <w:tcPr>
            <w:tcW w:w="2625" w:type="dxa"/>
            <w:tcBorders>
              <w:top w:val="nil"/>
              <w:left w:val="nil"/>
              <w:bottom w:val="single" w:color="000000" w:sz="12" w:space="0"/>
              <w:right w:val="nil"/>
            </w:tcBorders>
            <w:vAlign w:val="center"/>
          </w:tcPr>
          <w:p>
            <w:pPr>
              <w:jc w:val="right"/>
              <w:rPr>
                <w:rFonts w:ascii="Times New Roman" w:hAnsi="Times New Roman" w:cs="Times New Roman"/>
                <w:szCs w:val="21"/>
              </w:rPr>
            </w:pPr>
            <w:r>
              <w:rPr>
                <w:rFonts w:hint="eastAsia" w:ascii="Times New Roman" w:hAnsi="Times New Roman" w:cs="Times New Roman"/>
                <w:szCs w:val="21"/>
              </w:rPr>
              <w:t>195</w:t>
            </w:r>
          </w:p>
        </w:tc>
      </w:tr>
    </w:tbl>
    <w:p>
      <w:pPr>
        <w:ind w:firstLine="640" w:firstLineChars="200"/>
        <w:rPr>
          <w:rFonts w:ascii="Times New Roman" w:hAnsi="Times New Roman" w:eastAsia="仿宋_GB2312" w:cs="Times New Roman"/>
          <w:sz w:val="32"/>
          <w:szCs w:val="32"/>
        </w:rPr>
      </w:pP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在科学研究和技术服务业企业法人单位中，内资企业占100%，港、澳、台商投资企业占0%，外商投资企业占0%。</w:t>
      </w:r>
    </w:p>
    <w:p>
      <w:pPr>
        <w:ind w:firstLine="660"/>
        <w:rPr>
          <w:rFonts w:ascii="Times New Roman" w:hAnsi="Times New Roman" w:eastAsia="仿宋_GB2312" w:cs="Times New Roman"/>
          <w:sz w:val="32"/>
          <w:szCs w:val="32"/>
        </w:rPr>
      </w:pPr>
      <w:r>
        <w:rPr>
          <w:rFonts w:ascii="Times New Roman" w:hAnsi="Times New Roman" w:eastAsia="仿宋_GB2312" w:cs="Times New Roman"/>
          <w:sz w:val="32"/>
          <w:szCs w:val="32"/>
        </w:rPr>
        <w:t>在科学研究和技术服务业企业法人单位从业人员中，内资企业占100%，港、澳、台商投资企业占0%，外商投资企业占0%（详见表5-2）。</w:t>
      </w:r>
    </w:p>
    <w:p>
      <w:pPr>
        <w:ind w:firstLine="660"/>
        <w:rPr>
          <w:rFonts w:ascii="Times New Roman" w:hAnsi="Times New Roman" w:eastAsia="仿宋_GB2312" w:cs="Times New Roman"/>
          <w:sz w:val="32"/>
          <w:szCs w:val="32"/>
        </w:rPr>
      </w:pPr>
    </w:p>
    <w:p>
      <w:pPr>
        <w:jc w:val="center"/>
        <w:rPr>
          <w:rFonts w:ascii="Times New Roman" w:hAnsi="Times New Roman" w:cs="Times New Roman"/>
          <w:b/>
          <w:sz w:val="24"/>
          <w:szCs w:val="24"/>
        </w:rPr>
      </w:pPr>
      <w:r>
        <w:rPr>
          <w:rFonts w:ascii="Times New Roman" w:hAnsi="Times New Roman" w:cs="Times New Roman"/>
          <w:b/>
          <w:sz w:val="24"/>
          <w:szCs w:val="24"/>
        </w:rPr>
        <w:t>表5-2 按登记注册类型分组的科学研究和技术服务业企业法人单位和从业人员</w:t>
      </w:r>
    </w:p>
    <w:tbl>
      <w:tblPr>
        <w:tblStyle w:val="5"/>
        <w:tblW w:w="0" w:type="auto"/>
        <w:jc w:val="center"/>
        <w:tblLayout w:type="autofit"/>
        <w:tblCellMar>
          <w:top w:w="0" w:type="dxa"/>
          <w:left w:w="0" w:type="dxa"/>
          <w:bottom w:w="0" w:type="dxa"/>
          <w:right w:w="0" w:type="dxa"/>
        </w:tblCellMar>
      </w:tblPr>
      <w:tblGrid>
        <w:gridCol w:w="3374"/>
        <w:gridCol w:w="3024"/>
        <w:gridCol w:w="2447"/>
      </w:tblGrid>
      <w:tr>
        <w:tblPrEx>
          <w:tblCellMar>
            <w:top w:w="0" w:type="dxa"/>
            <w:left w:w="0" w:type="dxa"/>
            <w:bottom w:w="0" w:type="dxa"/>
            <w:right w:w="0" w:type="dxa"/>
          </w:tblCellMar>
        </w:tblPrEx>
        <w:trPr>
          <w:trHeight w:val="572" w:hRule="atLeast"/>
          <w:jc w:val="center"/>
        </w:trPr>
        <w:tc>
          <w:tcPr>
            <w:tcW w:w="3374" w:type="dxa"/>
            <w:tcBorders>
              <w:top w:val="single" w:color="000000" w:sz="12" w:space="0"/>
              <w:left w:val="nil"/>
              <w:bottom w:val="single" w:color="000000" w:sz="8" w:space="0"/>
              <w:right w:val="single" w:color="000000" w:sz="8" w:space="0"/>
            </w:tcBorders>
            <w:vAlign w:val="center"/>
          </w:tcPr>
          <w:p>
            <w:pPr>
              <w:widowControl/>
              <w:spacing w:line="240" w:lineRule="atLeast"/>
              <w:ind w:left="57" w:right="57"/>
              <w:jc w:val="center"/>
              <w:rPr>
                <w:rFonts w:ascii="Times New Roman" w:hAnsi="Times New Roman" w:eastAsia="宋体" w:cs="Times New Roman"/>
                <w:kern w:val="0"/>
                <w:sz w:val="24"/>
                <w:szCs w:val="24"/>
              </w:rPr>
            </w:pPr>
            <w:r>
              <w:rPr>
                <w:rFonts w:ascii="Times New Roman" w:hAnsi="Times New Roman" w:eastAsia="仿宋_GB2312" w:cs="Times New Roman"/>
                <w:sz w:val="32"/>
                <w:szCs w:val="32"/>
              </w:rPr>
              <w:t xml:space="preserve"> </w:t>
            </w:r>
            <w:r>
              <w:rPr>
                <w:rFonts w:ascii="Times New Roman" w:hAnsi="Times New Roman" w:eastAsia="宋体" w:cs="Times New Roman"/>
                <w:kern w:val="0"/>
                <w:sz w:val="24"/>
                <w:szCs w:val="24"/>
              </w:rPr>
              <w:t> </w:t>
            </w:r>
          </w:p>
        </w:tc>
        <w:tc>
          <w:tcPr>
            <w:tcW w:w="3024" w:type="dxa"/>
            <w:tcBorders>
              <w:top w:val="single" w:color="000000" w:sz="12" w:space="0"/>
              <w:left w:val="nil"/>
              <w:bottom w:val="single" w:color="000000" w:sz="8" w:space="0"/>
              <w:right w:val="single" w:color="000000" w:sz="8" w:space="0"/>
            </w:tcBorders>
            <w:vAlign w:val="center"/>
          </w:tcPr>
          <w:p>
            <w:pPr>
              <w:widowControl/>
              <w:spacing w:line="240" w:lineRule="atLeast"/>
              <w:ind w:left="57" w:right="57"/>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企业法人单位（个）</w:t>
            </w:r>
          </w:p>
        </w:tc>
        <w:tc>
          <w:tcPr>
            <w:tcW w:w="2447" w:type="dxa"/>
            <w:tcBorders>
              <w:top w:val="single" w:color="000000" w:sz="12" w:space="0"/>
              <w:left w:val="nil"/>
              <w:bottom w:val="single" w:color="000000" w:sz="8" w:space="0"/>
              <w:right w:val="nil"/>
            </w:tcBorders>
            <w:vAlign w:val="center"/>
          </w:tcPr>
          <w:p>
            <w:pPr>
              <w:widowControl/>
              <w:spacing w:line="240" w:lineRule="atLeast"/>
              <w:ind w:left="57" w:right="57"/>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从业人员（人）</w:t>
            </w:r>
          </w:p>
        </w:tc>
      </w:tr>
      <w:tr>
        <w:tblPrEx>
          <w:tblCellMar>
            <w:top w:w="0" w:type="dxa"/>
            <w:left w:w="0" w:type="dxa"/>
            <w:bottom w:w="0" w:type="dxa"/>
            <w:right w:w="0" w:type="dxa"/>
          </w:tblCellMar>
        </w:tblPrEx>
        <w:trPr>
          <w:trHeight w:val="285" w:hRule="atLeast"/>
          <w:jc w:val="center"/>
        </w:trPr>
        <w:tc>
          <w:tcPr>
            <w:tcW w:w="3374" w:type="dxa"/>
            <w:tcBorders>
              <w:top w:val="nil"/>
              <w:left w:val="nil"/>
              <w:bottom w:val="nil"/>
              <w:right w:val="single" w:color="000000" w:sz="8" w:space="0"/>
            </w:tcBorders>
            <w:vAlign w:val="center"/>
          </w:tcPr>
          <w:p>
            <w:pPr>
              <w:widowControl/>
              <w:spacing w:line="240" w:lineRule="atLeast"/>
              <w:ind w:left="57" w:right="57" w:firstLine="1084" w:firstLineChars="450"/>
              <w:jc w:val="lef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合　计</w:t>
            </w:r>
          </w:p>
        </w:tc>
        <w:tc>
          <w:tcPr>
            <w:tcW w:w="3024" w:type="dxa"/>
            <w:tcBorders>
              <w:top w:val="nil"/>
              <w:left w:val="nil"/>
              <w:bottom w:val="nil"/>
              <w:right w:val="single" w:color="000000" w:sz="8" w:space="0"/>
            </w:tcBorders>
            <w:vAlign w:val="center"/>
          </w:tcPr>
          <w:p>
            <w:pPr>
              <w:widowControl/>
              <w:jc w:val="right"/>
              <w:rPr>
                <w:rFonts w:ascii="Times New Roman" w:hAnsi="Times New Roman" w:cs="Times New Roman"/>
                <w:b/>
                <w:szCs w:val="21"/>
              </w:rPr>
            </w:pPr>
            <w:r>
              <w:rPr>
                <w:rFonts w:hint="eastAsia" w:ascii="Times New Roman" w:hAnsi="Times New Roman" w:cs="Times New Roman"/>
                <w:b/>
                <w:szCs w:val="21"/>
              </w:rPr>
              <w:t>47</w:t>
            </w:r>
          </w:p>
        </w:tc>
        <w:tc>
          <w:tcPr>
            <w:tcW w:w="2447" w:type="dxa"/>
            <w:tcBorders>
              <w:top w:val="nil"/>
              <w:left w:val="nil"/>
              <w:bottom w:val="nil"/>
              <w:right w:val="nil"/>
            </w:tcBorders>
            <w:vAlign w:val="center"/>
          </w:tcPr>
          <w:p>
            <w:pPr>
              <w:widowControl/>
              <w:jc w:val="right"/>
              <w:rPr>
                <w:rFonts w:ascii="Times New Roman" w:hAnsi="Times New Roman" w:cs="Times New Roman"/>
                <w:b/>
                <w:szCs w:val="21"/>
              </w:rPr>
            </w:pPr>
            <w:r>
              <w:rPr>
                <w:rFonts w:hint="eastAsia" w:ascii="Times New Roman" w:hAnsi="Times New Roman" w:cs="Times New Roman"/>
                <w:b/>
                <w:szCs w:val="21"/>
              </w:rPr>
              <w:t>358</w:t>
            </w:r>
          </w:p>
        </w:tc>
      </w:tr>
      <w:tr>
        <w:tblPrEx>
          <w:tblCellMar>
            <w:top w:w="0" w:type="dxa"/>
            <w:left w:w="0" w:type="dxa"/>
            <w:bottom w:w="0" w:type="dxa"/>
            <w:right w:w="0" w:type="dxa"/>
          </w:tblCellMar>
        </w:tblPrEx>
        <w:trPr>
          <w:trHeight w:val="285" w:hRule="atLeast"/>
          <w:jc w:val="center"/>
        </w:trPr>
        <w:tc>
          <w:tcPr>
            <w:tcW w:w="3374"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内资企业</w:t>
            </w:r>
          </w:p>
        </w:tc>
        <w:tc>
          <w:tcPr>
            <w:tcW w:w="3024"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Cs w:val="21"/>
              </w:rPr>
            </w:pPr>
            <w:r>
              <w:rPr>
                <w:rFonts w:ascii="Times New Roman" w:hAnsi="Times New Roman" w:eastAsia="宋体" w:cs="Times New Roman"/>
                <w:b/>
                <w:bCs/>
                <w:kern w:val="0"/>
                <w:szCs w:val="21"/>
              </w:rPr>
              <w:t xml:space="preserve">  </w:t>
            </w:r>
            <w:r>
              <w:rPr>
                <w:rFonts w:hint="eastAsia" w:ascii="Times New Roman" w:hAnsi="Times New Roman" w:eastAsia="宋体" w:cs="Times New Roman"/>
                <w:b/>
                <w:bCs/>
                <w:kern w:val="0"/>
                <w:szCs w:val="21"/>
              </w:rPr>
              <w:t>47</w:t>
            </w:r>
            <w:r>
              <w:rPr>
                <w:rFonts w:ascii="Times New Roman" w:hAnsi="Times New Roman" w:eastAsia="宋体" w:cs="Times New Roman"/>
                <w:b/>
                <w:bCs/>
                <w:kern w:val="0"/>
                <w:szCs w:val="21"/>
              </w:rPr>
              <w:t xml:space="preserve"> </w:t>
            </w:r>
          </w:p>
        </w:tc>
        <w:tc>
          <w:tcPr>
            <w:tcW w:w="2447"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b/>
                <w:bCs/>
                <w:kern w:val="0"/>
                <w:szCs w:val="21"/>
              </w:rPr>
              <w:t>358</w:t>
            </w:r>
            <w:r>
              <w:rPr>
                <w:rFonts w:ascii="Times New Roman" w:hAnsi="Times New Roman" w:eastAsia="宋体" w:cs="Times New Roman"/>
                <w:b/>
                <w:bCs/>
                <w:kern w:val="0"/>
                <w:szCs w:val="21"/>
              </w:rPr>
              <w:t xml:space="preserve"> </w:t>
            </w:r>
          </w:p>
        </w:tc>
      </w:tr>
      <w:tr>
        <w:tblPrEx>
          <w:tblCellMar>
            <w:top w:w="0" w:type="dxa"/>
            <w:left w:w="0" w:type="dxa"/>
            <w:bottom w:w="0" w:type="dxa"/>
            <w:right w:w="0" w:type="dxa"/>
          </w:tblCellMar>
        </w:tblPrEx>
        <w:trPr>
          <w:trHeight w:val="285" w:hRule="atLeast"/>
          <w:jc w:val="center"/>
        </w:trPr>
        <w:tc>
          <w:tcPr>
            <w:tcW w:w="3374"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国有企业</w:t>
            </w:r>
          </w:p>
        </w:tc>
        <w:tc>
          <w:tcPr>
            <w:tcW w:w="3024"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3</w:t>
            </w:r>
            <w:r>
              <w:rPr>
                <w:rFonts w:ascii="Times New Roman" w:hAnsi="Times New Roman" w:eastAsia="宋体" w:cs="Times New Roman"/>
                <w:kern w:val="0"/>
                <w:szCs w:val="21"/>
              </w:rPr>
              <w:t xml:space="preserve"> </w:t>
            </w:r>
          </w:p>
        </w:tc>
        <w:tc>
          <w:tcPr>
            <w:tcW w:w="2447"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57</w:t>
            </w:r>
            <w:r>
              <w:rPr>
                <w:rFonts w:ascii="Times New Roman" w:hAnsi="Times New Roman" w:eastAsia="宋体" w:cs="Times New Roman"/>
                <w:kern w:val="0"/>
                <w:szCs w:val="21"/>
              </w:rPr>
              <w:t xml:space="preserve"> </w:t>
            </w:r>
          </w:p>
        </w:tc>
      </w:tr>
      <w:tr>
        <w:tblPrEx>
          <w:tblCellMar>
            <w:top w:w="0" w:type="dxa"/>
            <w:left w:w="0" w:type="dxa"/>
            <w:bottom w:w="0" w:type="dxa"/>
            <w:right w:w="0" w:type="dxa"/>
          </w:tblCellMar>
        </w:tblPrEx>
        <w:trPr>
          <w:trHeight w:val="285" w:hRule="atLeast"/>
          <w:jc w:val="center"/>
        </w:trPr>
        <w:tc>
          <w:tcPr>
            <w:tcW w:w="3374"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集体企业</w:t>
            </w:r>
          </w:p>
        </w:tc>
        <w:tc>
          <w:tcPr>
            <w:tcW w:w="3024"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0</w:t>
            </w:r>
          </w:p>
        </w:tc>
        <w:tc>
          <w:tcPr>
            <w:tcW w:w="2447"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0</w:t>
            </w:r>
            <w:r>
              <w:rPr>
                <w:rFonts w:ascii="Times New Roman" w:hAnsi="Times New Roman" w:eastAsia="宋体" w:cs="Times New Roman"/>
                <w:kern w:val="0"/>
                <w:szCs w:val="21"/>
              </w:rPr>
              <w:t xml:space="preserve"> </w:t>
            </w:r>
          </w:p>
        </w:tc>
      </w:tr>
      <w:tr>
        <w:tblPrEx>
          <w:tblCellMar>
            <w:top w:w="0" w:type="dxa"/>
            <w:left w:w="0" w:type="dxa"/>
            <w:bottom w:w="0" w:type="dxa"/>
            <w:right w:w="0" w:type="dxa"/>
          </w:tblCellMar>
        </w:tblPrEx>
        <w:trPr>
          <w:trHeight w:val="285" w:hRule="atLeast"/>
          <w:jc w:val="center"/>
        </w:trPr>
        <w:tc>
          <w:tcPr>
            <w:tcW w:w="3374"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股份合作企业</w:t>
            </w:r>
          </w:p>
        </w:tc>
        <w:tc>
          <w:tcPr>
            <w:tcW w:w="3024"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0</w:t>
            </w:r>
            <w:r>
              <w:rPr>
                <w:rFonts w:ascii="Times New Roman" w:hAnsi="Times New Roman" w:eastAsia="宋体" w:cs="Times New Roman"/>
                <w:kern w:val="0"/>
                <w:szCs w:val="21"/>
              </w:rPr>
              <w:t xml:space="preserve"> </w:t>
            </w:r>
          </w:p>
        </w:tc>
        <w:tc>
          <w:tcPr>
            <w:tcW w:w="2447"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0</w:t>
            </w:r>
            <w:r>
              <w:rPr>
                <w:rFonts w:ascii="Times New Roman" w:hAnsi="Times New Roman" w:eastAsia="宋体" w:cs="Times New Roman"/>
                <w:kern w:val="0"/>
                <w:szCs w:val="21"/>
              </w:rPr>
              <w:t xml:space="preserve"> </w:t>
            </w:r>
          </w:p>
        </w:tc>
      </w:tr>
      <w:tr>
        <w:tblPrEx>
          <w:tblCellMar>
            <w:top w:w="0" w:type="dxa"/>
            <w:left w:w="0" w:type="dxa"/>
            <w:bottom w:w="0" w:type="dxa"/>
            <w:right w:w="0" w:type="dxa"/>
          </w:tblCellMar>
        </w:tblPrEx>
        <w:trPr>
          <w:trHeight w:val="285" w:hRule="atLeast"/>
          <w:jc w:val="center"/>
        </w:trPr>
        <w:tc>
          <w:tcPr>
            <w:tcW w:w="3374"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联营企业</w:t>
            </w:r>
          </w:p>
        </w:tc>
        <w:tc>
          <w:tcPr>
            <w:tcW w:w="3024"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Cs w:val="21"/>
              </w:rPr>
            </w:pPr>
            <w:r>
              <w:rPr>
                <w:rFonts w:ascii="Times New Roman" w:hAnsi="Times New Roman" w:eastAsia="宋体" w:cs="Times New Roman"/>
                <w:kern w:val="0"/>
                <w:szCs w:val="21"/>
              </w:rPr>
              <w:t xml:space="preserve">0 </w:t>
            </w:r>
          </w:p>
        </w:tc>
        <w:tc>
          <w:tcPr>
            <w:tcW w:w="2447"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Cs w:val="21"/>
              </w:rPr>
            </w:pPr>
            <w:r>
              <w:rPr>
                <w:rFonts w:ascii="Times New Roman" w:hAnsi="Times New Roman" w:eastAsia="宋体" w:cs="Times New Roman"/>
                <w:kern w:val="0"/>
                <w:szCs w:val="21"/>
              </w:rPr>
              <w:t xml:space="preserve">0 </w:t>
            </w:r>
          </w:p>
        </w:tc>
      </w:tr>
      <w:tr>
        <w:tblPrEx>
          <w:tblCellMar>
            <w:top w:w="0" w:type="dxa"/>
            <w:left w:w="0" w:type="dxa"/>
            <w:bottom w:w="0" w:type="dxa"/>
            <w:right w:w="0" w:type="dxa"/>
          </w:tblCellMar>
        </w:tblPrEx>
        <w:trPr>
          <w:trHeight w:val="285" w:hRule="atLeast"/>
          <w:jc w:val="center"/>
        </w:trPr>
        <w:tc>
          <w:tcPr>
            <w:tcW w:w="3374"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有限责任公司</w:t>
            </w:r>
          </w:p>
        </w:tc>
        <w:tc>
          <w:tcPr>
            <w:tcW w:w="3024"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6</w:t>
            </w:r>
            <w:r>
              <w:rPr>
                <w:rFonts w:ascii="Times New Roman" w:hAnsi="Times New Roman" w:eastAsia="宋体" w:cs="Times New Roman"/>
                <w:kern w:val="0"/>
                <w:szCs w:val="21"/>
              </w:rPr>
              <w:t xml:space="preserve"> </w:t>
            </w:r>
          </w:p>
        </w:tc>
        <w:tc>
          <w:tcPr>
            <w:tcW w:w="2447"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53</w:t>
            </w:r>
          </w:p>
        </w:tc>
      </w:tr>
      <w:tr>
        <w:tblPrEx>
          <w:tblCellMar>
            <w:top w:w="0" w:type="dxa"/>
            <w:left w:w="0" w:type="dxa"/>
            <w:bottom w:w="0" w:type="dxa"/>
            <w:right w:w="0" w:type="dxa"/>
          </w:tblCellMar>
        </w:tblPrEx>
        <w:trPr>
          <w:trHeight w:val="285" w:hRule="atLeast"/>
          <w:jc w:val="center"/>
        </w:trPr>
        <w:tc>
          <w:tcPr>
            <w:tcW w:w="3374"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股份有限公司</w:t>
            </w:r>
          </w:p>
        </w:tc>
        <w:tc>
          <w:tcPr>
            <w:tcW w:w="3024"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0</w:t>
            </w:r>
          </w:p>
        </w:tc>
        <w:tc>
          <w:tcPr>
            <w:tcW w:w="2447"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0</w:t>
            </w:r>
          </w:p>
        </w:tc>
      </w:tr>
      <w:tr>
        <w:tblPrEx>
          <w:tblCellMar>
            <w:top w:w="0" w:type="dxa"/>
            <w:left w:w="0" w:type="dxa"/>
            <w:bottom w:w="0" w:type="dxa"/>
            <w:right w:w="0" w:type="dxa"/>
          </w:tblCellMar>
        </w:tblPrEx>
        <w:trPr>
          <w:trHeight w:val="285" w:hRule="atLeast"/>
          <w:jc w:val="center"/>
        </w:trPr>
        <w:tc>
          <w:tcPr>
            <w:tcW w:w="3374"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私营企业</w:t>
            </w:r>
          </w:p>
        </w:tc>
        <w:tc>
          <w:tcPr>
            <w:tcW w:w="3024"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38</w:t>
            </w:r>
            <w:r>
              <w:rPr>
                <w:rFonts w:ascii="Times New Roman" w:hAnsi="Times New Roman" w:eastAsia="宋体" w:cs="Times New Roman"/>
                <w:kern w:val="0"/>
                <w:szCs w:val="21"/>
              </w:rPr>
              <w:t xml:space="preserve"> </w:t>
            </w:r>
          </w:p>
        </w:tc>
        <w:tc>
          <w:tcPr>
            <w:tcW w:w="2447"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248</w:t>
            </w:r>
          </w:p>
        </w:tc>
      </w:tr>
      <w:tr>
        <w:tblPrEx>
          <w:tblCellMar>
            <w:top w:w="0" w:type="dxa"/>
            <w:left w:w="0" w:type="dxa"/>
            <w:bottom w:w="0" w:type="dxa"/>
            <w:right w:w="0" w:type="dxa"/>
          </w:tblCellMar>
        </w:tblPrEx>
        <w:trPr>
          <w:trHeight w:val="285" w:hRule="atLeast"/>
          <w:jc w:val="center"/>
        </w:trPr>
        <w:tc>
          <w:tcPr>
            <w:tcW w:w="3374"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其他企业</w:t>
            </w:r>
          </w:p>
        </w:tc>
        <w:tc>
          <w:tcPr>
            <w:tcW w:w="3024"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0</w:t>
            </w:r>
          </w:p>
        </w:tc>
        <w:tc>
          <w:tcPr>
            <w:tcW w:w="2447"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0</w:t>
            </w:r>
          </w:p>
        </w:tc>
      </w:tr>
      <w:tr>
        <w:tblPrEx>
          <w:tblCellMar>
            <w:top w:w="0" w:type="dxa"/>
            <w:left w:w="0" w:type="dxa"/>
            <w:bottom w:w="0" w:type="dxa"/>
            <w:right w:w="0" w:type="dxa"/>
          </w:tblCellMar>
        </w:tblPrEx>
        <w:trPr>
          <w:trHeight w:val="285" w:hRule="atLeast"/>
          <w:jc w:val="center"/>
        </w:trPr>
        <w:tc>
          <w:tcPr>
            <w:tcW w:w="3374"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港、澳、台商投资企业</w:t>
            </w:r>
          </w:p>
        </w:tc>
        <w:tc>
          <w:tcPr>
            <w:tcW w:w="3024"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Cs w:val="21"/>
              </w:rPr>
            </w:pPr>
            <w:r>
              <w:rPr>
                <w:rFonts w:ascii="Times New Roman" w:hAnsi="Times New Roman" w:eastAsia="宋体" w:cs="Times New Roman"/>
                <w:b/>
                <w:bCs/>
                <w:kern w:val="0"/>
                <w:szCs w:val="21"/>
              </w:rPr>
              <w:t xml:space="preserve">0 </w:t>
            </w:r>
          </w:p>
        </w:tc>
        <w:tc>
          <w:tcPr>
            <w:tcW w:w="2447"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Cs w:val="21"/>
              </w:rPr>
            </w:pPr>
            <w:r>
              <w:rPr>
                <w:rFonts w:ascii="Times New Roman" w:hAnsi="Times New Roman" w:eastAsia="宋体" w:cs="Times New Roman"/>
                <w:b/>
                <w:bCs/>
                <w:kern w:val="0"/>
                <w:szCs w:val="21"/>
              </w:rPr>
              <w:t xml:space="preserve">0 </w:t>
            </w:r>
          </w:p>
        </w:tc>
      </w:tr>
      <w:tr>
        <w:tblPrEx>
          <w:tblCellMar>
            <w:top w:w="0" w:type="dxa"/>
            <w:left w:w="0" w:type="dxa"/>
            <w:bottom w:w="0" w:type="dxa"/>
            <w:right w:w="0" w:type="dxa"/>
          </w:tblCellMar>
        </w:tblPrEx>
        <w:trPr>
          <w:trHeight w:val="285" w:hRule="atLeast"/>
          <w:jc w:val="center"/>
        </w:trPr>
        <w:tc>
          <w:tcPr>
            <w:tcW w:w="3374" w:type="dxa"/>
            <w:tcBorders>
              <w:top w:val="nil"/>
              <w:left w:val="nil"/>
              <w:bottom w:val="single" w:color="000000" w:sz="12" w:space="0"/>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外商投资企业</w:t>
            </w:r>
          </w:p>
        </w:tc>
        <w:tc>
          <w:tcPr>
            <w:tcW w:w="3024" w:type="dxa"/>
            <w:tcBorders>
              <w:top w:val="nil"/>
              <w:left w:val="nil"/>
              <w:bottom w:val="single" w:color="000000" w:sz="12" w:space="0"/>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Cs w:val="21"/>
              </w:rPr>
            </w:pPr>
            <w:r>
              <w:rPr>
                <w:rFonts w:ascii="Times New Roman" w:hAnsi="Times New Roman" w:eastAsia="宋体" w:cs="Times New Roman"/>
                <w:b/>
                <w:bCs/>
                <w:kern w:val="0"/>
                <w:szCs w:val="21"/>
              </w:rPr>
              <w:t xml:space="preserve">0 </w:t>
            </w:r>
          </w:p>
        </w:tc>
        <w:tc>
          <w:tcPr>
            <w:tcW w:w="2447" w:type="dxa"/>
            <w:tcBorders>
              <w:top w:val="nil"/>
              <w:left w:val="nil"/>
              <w:bottom w:val="single" w:color="000000" w:sz="12" w:space="0"/>
              <w:right w:val="nil"/>
            </w:tcBorders>
            <w:vAlign w:val="center"/>
          </w:tcPr>
          <w:p>
            <w:pPr>
              <w:widowControl/>
              <w:spacing w:line="240" w:lineRule="atLeast"/>
              <w:ind w:left="57" w:right="57"/>
              <w:jc w:val="right"/>
              <w:rPr>
                <w:rFonts w:ascii="Times New Roman" w:hAnsi="Times New Roman" w:eastAsia="宋体" w:cs="Times New Roman"/>
                <w:kern w:val="0"/>
                <w:szCs w:val="21"/>
              </w:rPr>
            </w:pPr>
            <w:r>
              <w:rPr>
                <w:rFonts w:ascii="Times New Roman" w:hAnsi="Times New Roman" w:eastAsia="宋体" w:cs="Times New Roman"/>
                <w:b/>
                <w:bCs/>
                <w:kern w:val="0"/>
                <w:szCs w:val="21"/>
              </w:rPr>
              <w:t>0</w:t>
            </w:r>
          </w:p>
        </w:tc>
      </w:tr>
    </w:tbl>
    <w:p>
      <w:pPr>
        <w:ind w:firstLine="482" w:firstLineChars="150"/>
        <w:rPr>
          <w:rFonts w:ascii="Times New Roman" w:hAnsi="Times New Roman" w:eastAsia="仿宋_GB2312" w:cs="Times New Roman"/>
          <w:b/>
          <w:sz w:val="32"/>
          <w:szCs w:val="32"/>
        </w:rPr>
      </w:pPr>
    </w:p>
    <w:p>
      <w:pPr>
        <w:ind w:firstLine="482" w:firstLineChars="150"/>
        <w:rPr>
          <w:rFonts w:ascii="Times New Roman" w:hAnsi="Times New Roman" w:eastAsia="仿宋_GB2312" w:cs="Times New Roman"/>
          <w:b/>
          <w:sz w:val="32"/>
          <w:szCs w:val="32"/>
        </w:rPr>
      </w:pPr>
      <w:r>
        <w:rPr>
          <w:rFonts w:ascii="Times New Roman" w:hAnsi="Times New Roman" w:eastAsia="仿宋_GB2312" w:cs="Times New Roman"/>
          <w:b/>
          <w:sz w:val="32"/>
          <w:szCs w:val="32"/>
        </w:rPr>
        <w:t>（二）主要经济指标。</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2018年末，科学研究和技术服务业企业法人单位资产总计</w:t>
      </w:r>
      <w:r>
        <w:rPr>
          <w:rFonts w:hint="eastAsia" w:ascii="Times New Roman" w:hAnsi="Times New Roman" w:eastAsia="仿宋_GB2312" w:cs="Times New Roman"/>
          <w:sz w:val="32"/>
          <w:szCs w:val="32"/>
        </w:rPr>
        <w:t>19552.8</w:t>
      </w:r>
      <w:r>
        <w:rPr>
          <w:rFonts w:ascii="Times New Roman" w:hAnsi="Times New Roman" w:eastAsia="仿宋_GB2312" w:cs="Times New Roman"/>
          <w:sz w:val="32"/>
          <w:szCs w:val="32"/>
        </w:rPr>
        <w:t>万元</w:t>
      </w:r>
      <w:r>
        <w:rPr>
          <w:rFonts w:ascii="Times New Roman" w:hAnsi="Times New Roman" w:eastAsia="仿宋_GB2312" w:cs="Times New Roman"/>
          <w:color w:val="000000" w:themeColor="text1"/>
          <w:sz w:val="32"/>
          <w:szCs w:val="32"/>
        </w:rPr>
        <w:t>，比2013年末增长</w:t>
      </w:r>
      <w:r>
        <w:rPr>
          <w:rFonts w:hint="eastAsia" w:ascii="Times New Roman" w:hAnsi="Times New Roman" w:eastAsia="仿宋_GB2312" w:cs="Times New Roman"/>
          <w:color w:val="000000" w:themeColor="text1"/>
          <w:sz w:val="32"/>
          <w:szCs w:val="32"/>
        </w:rPr>
        <w:t>1795.8</w:t>
      </w:r>
      <w:r>
        <w:rPr>
          <w:rFonts w:ascii="Times New Roman" w:hAnsi="Times New Roman" w:eastAsia="仿宋_GB2312" w:cs="Times New Roman"/>
          <w:color w:val="000000" w:themeColor="text1"/>
          <w:sz w:val="32"/>
          <w:szCs w:val="32"/>
        </w:rPr>
        <w:t>%。</w:t>
      </w:r>
      <w:r>
        <w:rPr>
          <w:rFonts w:ascii="Times New Roman" w:hAnsi="Times New Roman" w:eastAsia="仿宋_GB2312" w:cs="Times New Roman"/>
          <w:sz w:val="32"/>
          <w:szCs w:val="32"/>
        </w:rPr>
        <w:t>负债合计</w:t>
      </w:r>
      <w:r>
        <w:rPr>
          <w:rFonts w:hint="eastAsia" w:ascii="Times New Roman" w:hAnsi="Times New Roman" w:eastAsia="仿宋_GB2312" w:cs="Times New Roman"/>
          <w:sz w:val="32"/>
          <w:szCs w:val="32"/>
        </w:rPr>
        <w:t>8649.8</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全年实现营业收入</w:t>
      </w:r>
      <w:r>
        <w:rPr>
          <w:rFonts w:hint="eastAsia" w:ascii="Times New Roman" w:hAnsi="Times New Roman" w:eastAsia="仿宋_GB2312" w:cs="Times New Roman"/>
          <w:sz w:val="32"/>
          <w:szCs w:val="32"/>
        </w:rPr>
        <w:t>4644.7</w:t>
      </w:r>
      <w:r>
        <w:rPr>
          <w:rFonts w:ascii="Times New Roman" w:hAnsi="Times New Roman" w:eastAsia="仿宋_GB2312" w:cs="Times New Roman"/>
          <w:sz w:val="32"/>
          <w:szCs w:val="32"/>
        </w:rPr>
        <w:t>万元（详见表5-3）。</w:t>
      </w:r>
    </w:p>
    <w:p>
      <w:pPr>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jc w:val="center"/>
        <w:rPr>
          <w:rFonts w:ascii="Times New Roman" w:hAnsi="Times New Roman" w:cs="Times New Roman"/>
          <w:b/>
          <w:sz w:val="10"/>
          <w:szCs w:val="10"/>
        </w:rPr>
      </w:pPr>
      <w:r>
        <w:rPr>
          <w:rFonts w:ascii="Times New Roman" w:hAnsi="Times New Roman" w:cs="Times New Roman"/>
          <w:b/>
          <w:sz w:val="24"/>
          <w:szCs w:val="24"/>
        </w:rPr>
        <w:t>表5-3　按行业大类分组的科学研究和技术服务业企业法人单位主要经济指标</w:t>
      </w:r>
    </w:p>
    <w:p>
      <w:pPr>
        <w:rPr>
          <w:rFonts w:ascii="Times New Roman" w:hAnsi="Times New Roman" w:cs="Times New Roman"/>
          <w:b/>
          <w:sz w:val="10"/>
          <w:szCs w:val="10"/>
        </w:rPr>
      </w:pPr>
    </w:p>
    <w:tbl>
      <w:tblPr>
        <w:tblStyle w:val="5"/>
        <w:tblW w:w="0" w:type="auto"/>
        <w:jc w:val="center"/>
        <w:tblLayout w:type="autofit"/>
        <w:tblCellMar>
          <w:top w:w="0" w:type="dxa"/>
          <w:left w:w="0" w:type="dxa"/>
          <w:bottom w:w="0" w:type="dxa"/>
          <w:right w:w="0" w:type="dxa"/>
        </w:tblCellMar>
      </w:tblPr>
      <w:tblGrid>
        <w:gridCol w:w="3544"/>
        <w:gridCol w:w="1690"/>
        <w:gridCol w:w="1712"/>
        <w:gridCol w:w="1843"/>
      </w:tblGrid>
      <w:tr>
        <w:tblPrEx>
          <w:tblCellMar>
            <w:top w:w="0" w:type="dxa"/>
            <w:left w:w="0" w:type="dxa"/>
            <w:bottom w:w="0" w:type="dxa"/>
            <w:right w:w="0" w:type="dxa"/>
          </w:tblCellMar>
        </w:tblPrEx>
        <w:trPr>
          <w:trHeight w:val="567" w:hRule="atLeast"/>
          <w:jc w:val="center"/>
        </w:trPr>
        <w:tc>
          <w:tcPr>
            <w:tcW w:w="3544" w:type="dxa"/>
            <w:tcBorders>
              <w:top w:val="single" w:color="000000" w:sz="12" w:space="0"/>
              <w:left w:val="nil"/>
              <w:bottom w:val="single" w:color="000000" w:sz="8" w:space="0"/>
              <w:right w:val="single" w:color="000000" w:sz="8" w:space="0"/>
            </w:tcBorders>
            <w:vAlign w:val="center"/>
          </w:tcPr>
          <w:p>
            <w:pPr>
              <w:widowControl/>
              <w:spacing w:line="240" w:lineRule="atLeast"/>
              <w:ind w:left="57" w:right="57"/>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 </w:t>
            </w:r>
          </w:p>
        </w:tc>
        <w:tc>
          <w:tcPr>
            <w:tcW w:w="1690" w:type="dxa"/>
            <w:tcBorders>
              <w:top w:val="single" w:color="000000" w:sz="12" w:space="0"/>
              <w:left w:val="nil"/>
              <w:bottom w:val="single" w:color="000000" w:sz="8" w:space="0"/>
              <w:right w:val="single" w:color="000000" w:sz="8" w:space="0"/>
            </w:tcBorders>
            <w:vAlign w:val="center"/>
          </w:tcPr>
          <w:p>
            <w:pPr>
              <w:widowControl/>
              <w:spacing w:line="240" w:lineRule="atLeast"/>
              <w:ind w:left="57" w:right="57"/>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资产总计</w:t>
            </w:r>
          </w:p>
          <w:p>
            <w:pPr>
              <w:widowControl/>
              <w:spacing w:line="240" w:lineRule="atLeast"/>
              <w:ind w:left="57" w:right="57"/>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（万元）</w:t>
            </w:r>
          </w:p>
        </w:tc>
        <w:tc>
          <w:tcPr>
            <w:tcW w:w="1712" w:type="dxa"/>
            <w:tcBorders>
              <w:top w:val="single" w:color="000000" w:sz="12" w:space="0"/>
              <w:left w:val="nil"/>
              <w:bottom w:val="single" w:color="000000" w:sz="8" w:space="0"/>
              <w:right w:val="single" w:color="000000" w:sz="8" w:space="0"/>
            </w:tcBorders>
            <w:vAlign w:val="center"/>
          </w:tcPr>
          <w:p>
            <w:pPr>
              <w:widowControl/>
              <w:spacing w:line="240" w:lineRule="atLeast"/>
              <w:ind w:left="57" w:right="57"/>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负债合计</w:t>
            </w:r>
          </w:p>
          <w:p>
            <w:pPr>
              <w:widowControl/>
              <w:spacing w:line="240" w:lineRule="atLeast"/>
              <w:ind w:left="57" w:right="57"/>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（万元）</w:t>
            </w:r>
          </w:p>
        </w:tc>
        <w:tc>
          <w:tcPr>
            <w:tcW w:w="1843" w:type="dxa"/>
            <w:tcBorders>
              <w:top w:val="single" w:color="000000" w:sz="12" w:space="0"/>
              <w:left w:val="nil"/>
              <w:bottom w:val="single" w:color="000000" w:sz="8" w:space="0"/>
              <w:right w:val="nil"/>
            </w:tcBorders>
            <w:vAlign w:val="center"/>
          </w:tcPr>
          <w:p>
            <w:pPr>
              <w:widowControl/>
              <w:spacing w:line="240" w:lineRule="atLeast"/>
              <w:ind w:left="57" w:right="57"/>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营业收入</w:t>
            </w:r>
          </w:p>
          <w:p>
            <w:pPr>
              <w:widowControl/>
              <w:spacing w:line="240" w:lineRule="atLeast"/>
              <w:ind w:left="57" w:right="57"/>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（万元）</w:t>
            </w:r>
          </w:p>
        </w:tc>
      </w:tr>
      <w:tr>
        <w:tblPrEx>
          <w:tblCellMar>
            <w:top w:w="0" w:type="dxa"/>
            <w:left w:w="0" w:type="dxa"/>
            <w:bottom w:w="0" w:type="dxa"/>
            <w:right w:w="0" w:type="dxa"/>
          </w:tblCellMar>
        </w:tblPrEx>
        <w:trPr>
          <w:trHeight w:val="283" w:hRule="atLeast"/>
          <w:jc w:val="center"/>
        </w:trPr>
        <w:tc>
          <w:tcPr>
            <w:tcW w:w="3544"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合　计</w:t>
            </w:r>
          </w:p>
        </w:tc>
        <w:tc>
          <w:tcPr>
            <w:tcW w:w="1690" w:type="dxa"/>
            <w:tcBorders>
              <w:top w:val="nil"/>
              <w:left w:val="nil"/>
              <w:bottom w:val="nil"/>
              <w:right w:val="single" w:color="000000" w:sz="8" w:space="0"/>
            </w:tcBorders>
            <w:vAlign w:val="center"/>
          </w:tcPr>
          <w:p>
            <w:pPr>
              <w:widowControl/>
              <w:jc w:val="right"/>
              <w:rPr>
                <w:rFonts w:ascii="Times New Roman" w:hAnsi="Times New Roman" w:cs="Times New Roman"/>
                <w:b/>
                <w:szCs w:val="21"/>
              </w:rPr>
            </w:pPr>
            <w:r>
              <w:rPr>
                <w:rFonts w:hint="eastAsia" w:ascii="Times New Roman" w:hAnsi="Times New Roman" w:cs="Times New Roman"/>
                <w:b/>
                <w:szCs w:val="21"/>
              </w:rPr>
              <w:t>19552.8</w:t>
            </w:r>
            <w:r>
              <w:rPr>
                <w:rFonts w:ascii="Times New Roman" w:hAnsi="Times New Roman" w:cs="Times New Roman"/>
                <w:b/>
                <w:szCs w:val="21"/>
              </w:rPr>
              <w:t xml:space="preserve"> </w:t>
            </w:r>
          </w:p>
        </w:tc>
        <w:tc>
          <w:tcPr>
            <w:tcW w:w="1712" w:type="dxa"/>
            <w:tcBorders>
              <w:top w:val="nil"/>
              <w:left w:val="nil"/>
              <w:bottom w:val="nil"/>
              <w:right w:val="single" w:color="000000" w:sz="8" w:space="0"/>
            </w:tcBorders>
            <w:vAlign w:val="center"/>
          </w:tcPr>
          <w:p>
            <w:pPr>
              <w:jc w:val="right"/>
              <w:rPr>
                <w:rFonts w:ascii="Times New Roman" w:hAnsi="Times New Roman" w:cs="Times New Roman"/>
                <w:b/>
                <w:szCs w:val="21"/>
              </w:rPr>
            </w:pPr>
            <w:r>
              <w:rPr>
                <w:rFonts w:hint="eastAsia" w:ascii="Times New Roman" w:hAnsi="Times New Roman" w:cs="Times New Roman"/>
                <w:b/>
                <w:szCs w:val="21"/>
              </w:rPr>
              <w:t>8649.8</w:t>
            </w:r>
            <w:r>
              <w:rPr>
                <w:rFonts w:ascii="Times New Roman" w:hAnsi="Times New Roman" w:cs="Times New Roman"/>
                <w:b/>
                <w:szCs w:val="21"/>
              </w:rPr>
              <w:t xml:space="preserve"> </w:t>
            </w:r>
          </w:p>
        </w:tc>
        <w:tc>
          <w:tcPr>
            <w:tcW w:w="1843" w:type="dxa"/>
            <w:tcBorders>
              <w:top w:val="nil"/>
              <w:left w:val="nil"/>
              <w:bottom w:val="nil"/>
              <w:right w:val="nil"/>
            </w:tcBorders>
            <w:vAlign w:val="center"/>
          </w:tcPr>
          <w:p>
            <w:pPr>
              <w:jc w:val="right"/>
              <w:rPr>
                <w:rFonts w:ascii="Times New Roman" w:hAnsi="Times New Roman" w:cs="Times New Roman"/>
                <w:b/>
                <w:szCs w:val="21"/>
              </w:rPr>
            </w:pPr>
            <w:r>
              <w:rPr>
                <w:rFonts w:hint="eastAsia" w:ascii="Times New Roman" w:hAnsi="Times New Roman" w:cs="Times New Roman"/>
                <w:b/>
                <w:szCs w:val="21"/>
              </w:rPr>
              <w:t>4644.7</w:t>
            </w:r>
            <w:r>
              <w:rPr>
                <w:rFonts w:ascii="Times New Roman" w:hAnsi="Times New Roman" w:cs="Times New Roman"/>
                <w:b/>
                <w:szCs w:val="21"/>
              </w:rPr>
              <w:t xml:space="preserve"> </w:t>
            </w:r>
          </w:p>
        </w:tc>
      </w:tr>
      <w:tr>
        <w:tblPrEx>
          <w:tblCellMar>
            <w:top w:w="0" w:type="dxa"/>
            <w:left w:w="0" w:type="dxa"/>
            <w:bottom w:w="0" w:type="dxa"/>
            <w:right w:w="0" w:type="dxa"/>
          </w:tblCellMar>
        </w:tblPrEx>
        <w:trPr>
          <w:trHeight w:val="283" w:hRule="atLeast"/>
          <w:jc w:val="center"/>
        </w:trPr>
        <w:tc>
          <w:tcPr>
            <w:tcW w:w="3544"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研究和试验发展</w:t>
            </w:r>
          </w:p>
        </w:tc>
        <w:tc>
          <w:tcPr>
            <w:tcW w:w="1690" w:type="dxa"/>
            <w:tcBorders>
              <w:top w:val="nil"/>
              <w:left w:val="nil"/>
              <w:bottom w:val="nil"/>
              <w:right w:val="single" w:color="000000" w:sz="8" w:space="0"/>
            </w:tcBorders>
            <w:vAlign w:val="center"/>
          </w:tcPr>
          <w:p>
            <w:pPr>
              <w:jc w:val="right"/>
              <w:rPr>
                <w:rFonts w:ascii="Times New Roman" w:hAnsi="Times New Roman" w:cs="Times New Roman"/>
                <w:szCs w:val="21"/>
              </w:rPr>
            </w:pPr>
            <w:r>
              <w:rPr>
                <w:rFonts w:hint="eastAsia" w:ascii="Times New Roman" w:hAnsi="Times New Roman" w:cs="Times New Roman"/>
                <w:szCs w:val="21"/>
              </w:rPr>
              <w:t>0</w:t>
            </w:r>
            <w:r>
              <w:rPr>
                <w:rFonts w:ascii="Times New Roman" w:hAnsi="Times New Roman" w:cs="Times New Roman"/>
                <w:szCs w:val="21"/>
              </w:rPr>
              <w:t xml:space="preserve"> </w:t>
            </w:r>
          </w:p>
        </w:tc>
        <w:tc>
          <w:tcPr>
            <w:tcW w:w="1712" w:type="dxa"/>
            <w:tcBorders>
              <w:top w:val="nil"/>
              <w:left w:val="nil"/>
              <w:bottom w:val="nil"/>
              <w:right w:val="single" w:color="000000" w:sz="8" w:space="0"/>
            </w:tcBorders>
            <w:vAlign w:val="center"/>
          </w:tcPr>
          <w:p>
            <w:pPr>
              <w:jc w:val="right"/>
              <w:rPr>
                <w:rFonts w:ascii="Times New Roman" w:hAnsi="Times New Roman" w:cs="Times New Roman"/>
                <w:szCs w:val="21"/>
              </w:rPr>
            </w:pPr>
            <w:r>
              <w:rPr>
                <w:rFonts w:hint="eastAsia" w:ascii="Times New Roman" w:hAnsi="Times New Roman" w:cs="Times New Roman"/>
                <w:szCs w:val="21"/>
              </w:rPr>
              <w:t>0</w:t>
            </w:r>
          </w:p>
        </w:tc>
        <w:tc>
          <w:tcPr>
            <w:tcW w:w="1843" w:type="dxa"/>
            <w:tcBorders>
              <w:top w:val="nil"/>
              <w:left w:val="nil"/>
              <w:bottom w:val="nil"/>
              <w:right w:val="nil"/>
            </w:tcBorders>
            <w:vAlign w:val="center"/>
          </w:tcPr>
          <w:p>
            <w:pPr>
              <w:jc w:val="right"/>
              <w:rPr>
                <w:rFonts w:ascii="Times New Roman" w:hAnsi="Times New Roman" w:cs="Times New Roman"/>
                <w:szCs w:val="21"/>
              </w:rPr>
            </w:pPr>
            <w:r>
              <w:rPr>
                <w:rFonts w:hint="eastAsia" w:ascii="Times New Roman" w:hAnsi="Times New Roman" w:cs="Times New Roman"/>
                <w:szCs w:val="21"/>
              </w:rPr>
              <w:t>0</w:t>
            </w:r>
          </w:p>
        </w:tc>
      </w:tr>
      <w:tr>
        <w:tblPrEx>
          <w:tblCellMar>
            <w:top w:w="0" w:type="dxa"/>
            <w:left w:w="0" w:type="dxa"/>
            <w:bottom w:w="0" w:type="dxa"/>
            <w:right w:w="0" w:type="dxa"/>
          </w:tblCellMar>
        </w:tblPrEx>
        <w:trPr>
          <w:trHeight w:val="283" w:hRule="atLeast"/>
          <w:jc w:val="center"/>
        </w:trPr>
        <w:tc>
          <w:tcPr>
            <w:tcW w:w="3544"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专业技术服务业</w:t>
            </w:r>
          </w:p>
        </w:tc>
        <w:tc>
          <w:tcPr>
            <w:tcW w:w="1690" w:type="dxa"/>
            <w:tcBorders>
              <w:top w:val="nil"/>
              <w:left w:val="nil"/>
              <w:bottom w:val="nil"/>
              <w:right w:val="single" w:color="000000" w:sz="8" w:space="0"/>
            </w:tcBorders>
            <w:vAlign w:val="center"/>
          </w:tcPr>
          <w:p>
            <w:pPr>
              <w:jc w:val="right"/>
              <w:rPr>
                <w:rFonts w:ascii="Times New Roman" w:hAnsi="Times New Roman" w:cs="Times New Roman"/>
                <w:szCs w:val="21"/>
              </w:rPr>
            </w:pPr>
            <w:r>
              <w:rPr>
                <w:rFonts w:hint="eastAsia" w:ascii="Times New Roman" w:hAnsi="Times New Roman" w:cs="Times New Roman"/>
                <w:szCs w:val="21"/>
              </w:rPr>
              <w:t>10700.1</w:t>
            </w:r>
            <w:r>
              <w:rPr>
                <w:rFonts w:ascii="Times New Roman" w:hAnsi="Times New Roman" w:cs="Times New Roman"/>
                <w:szCs w:val="21"/>
              </w:rPr>
              <w:t xml:space="preserve"> </w:t>
            </w:r>
          </w:p>
        </w:tc>
        <w:tc>
          <w:tcPr>
            <w:tcW w:w="1712" w:type="dxa"/>
            <w:tcBorders>
              <w:top w:val="nil"/>
              <w:left w:val="nil"/>
              <w:bottom w:val="nil"/>
              <w:right w:val="single" w:color="000000" w:sz="8" w:space="0"/>
            </w:tcBorders>
            <w:vAlign w:val="center"/>
          </w:tcPr>
          <w:p>
            <w:pPr>
              <w:jc w:val="right"/>
              <w:rPr>
                <w:rFonts w:ascii="Times New Roman" w:hAnsi="Times New Roman" w:cs="Times New Roman"/>
                <w:szCs w:val="21"/>
              </w:rPr>
            </w:pPr>
            <w:r>
              <w:rPr>
                <w:rFonts w:hint="eastAsia" w:ascii="Times New Roman" w:hAnsi="Times New Roman" w:cs="Times New Roman"/>
                <w:szCs w:val="21"/>
              </w:rPr>
              <w:t>8352.2</w:t>
            </w:r>
            <w:r>
              <w:rPr>
                <w:rFonts w:ascii="Times New Roman" w:hAnsi="Times New Roman" w:cs="Times New Roman"/>
                <w:szCs w:val="21"/>
              </w:rPr>
              <w:t xml:space="preserve"> </w:t>
            </w:r>
          </w:p>
        </w:tc>
        <w:tc>
          <w:tcPr>
            <w:tcW w:w="1843" w:type="dxa"/>
            <w:tcBorders>
              <w:top w:val="nil"/>
              <w:left w:val="nil"/>
              <w:bottom w:val="nil"/>
              <w:right w:val="nil"/>
            </w:tcBorders>
            <w:vAlign w:val="center"/>
          </w:tcPr>
          <w:p>
            <w:pPr>
              <w:jc w:val="right"/>
              <w:rPr>
                <w:rFonts w:ascii="Times New Roman" w:hAnsi="Times New Roman" w:cs="Times New Roman"/>
                <w:szCs w:val="21"/>
              </w:rPr>
            </w:pPr>
            <w:r>
              <w:rPr>
                <w:rFonts w:hint="eastAsia" w:ascii="Times New Roman" w:hAnsi="Times New Roman" w:cs="Times New Roman"/>
                <w:szCs w:val="21"/>
              </w:rPr>
              <w:t>1940.3</w:t>
            </w:r>
          </w:p>
        </w:tc>
      </w:tr>
      <w:tr>
        <w:tblPrEx>
          <w:tblCellMar>
            <w:top w:w="0" w:type="dxa"/>
            <w:left w:w="0" w:type="dxa"/>
            <w:bottom w:w="0" w:type="dxa"/>
            <w:right w:w="0" w:type="dxa"/>
          </w:tblCellMar>
        </w:tblPrEx>
        <w:trPr>
          <w:trHeight w:val="283" w:hRule="atLeast"/>
          <w:jc w:val="center"/>
        </w:trPr>
        <w:tc>
          <w:tcPr>
            <w:tcW w:w="3544" w:type="dxa"/>
            <w:tcBorders>
              <w:top w:val="nil"/>
              <w:left w:val="nil"/>
              <w:bottom w:val="single" w:color="000000" w:sz="12" w:space="0"/>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科技推广和应用服务业</w:t>
            </w:r>
          </w:p>
        </w:tc>
        <w:tc>
          <w:tcPr>
            <w:tcW w:w="1690" w:type="dxa"/>
            <w:tcBorders>
              <w:top w:val="nil"/>
              <w:left w:val="nil"/>
              <w:bottom w:val="single" w:color="000000" w:sz="12" w:space="0"/>
              <w:right w:val="single" w:color="000000" w:sz="8" w:space="0"/>
            </w:tcBorders>
            <w:vAlign w:val="center"/>
          </w:tcPr>
          <w:p>
            <w:pPr>
              <w:jc w:val="right"/>
              <w:rPr>
                <w:rFonts w:ascii="Times New Roman" w:hAnsi="Times New Roman" w:cs="Times New Roman"/>
                <w:szCs w:val="21"/>
              </w:rPr>
            </w:pPr>
            <w:r>
              <w:rPr>
                <w:rFonts w:hint="eastAsia" w:ascii="Times New Roman" w:hAnsi="Times New Roman" w:cs="Times New Roman"/>
                <w:szCs w:val="21"/>
              </w:rPr>
              <w:t>8852.7</w:t>
            </w:r>
            <w:r>
              <w:rPr>
                <w:rFonts w:ascii="Times New Roman" w:hAnsi="Times New Roman" w:cs="Times New Roman"/>
                <w:szCs w:val="21"/>
              </w:rPr>
              <w:t xml:space="preserve"> </w:t>
            </w:r>
          </w:p>
        </w:tc>
        <w:tc>
          <w:tcPr>
            <w:tcW w:w="1712" w:type="dxa"/>
            <w:tcBorders>
              <w:top w:val="nil"/>
              <w:left w:val="nil"/>
              <w:bottom w:val="single" w:color="000000" w:sz="12" w:space="0"/>
              <w:right w:val="single" w:color="000000" w:sz="8" w:space="0"/>
            </w:tcBorders>
            <w:vAlign w:val="center"/>
          </w:tcPr>
          <w:p>
            <w:pPr>
              <w:jc w:val="right"/>
              <w:rPr>
                <w:rFonts w:ascii="Times New Roman" w:hAnsi="Times New Roman" w:cs="Times New Roman"/>
                <w:szCs w:val="21"/>
              </w:rPr>
            </w:pPr>
            <w:r>
              <w:rPr>
                <w:rFonts w:hint="eastAsia" w:ascii="Times New Roman" w:hAnsi="Times New Roman" w:cs="Times New Roman"/>
                <w:szCs w:val="21"/>
              </w:rPr>
              <w:t>297.6</w:t>
            </w:r>
            <w:r>
              <w:rPr>
                <w:rFonts w:ascii="Times New Roman" w:hAnsi="Times New Roman" w:cs="Times New Roman"/>
                <w:szCs w:val="21"/>
              </w:rPr>
              <w:t xml:space="preserve"> </w:t>
            </w:r>
          </w:p>
        </w:tc>
        <w:tc>
          <w:tcPr>
            <w:tcW w:w="1843" w:type="dxa"/>
            <w:tcBorders>
              <w:top w:val="nil"/>
              <w:left w:val="nil"/>
              <w:bottom w:val="single" w:color="000000" w:sz="12" w:space="0"/>
              <w:right w:val="nil"/>
            </w:tcBorders>
            <w:vAlign w:val="center"/>
          </w:tcPr>
          <w:p>
            <w:pPr>
              <w:jc w:val="right"/>
              <w:rPr>
                <w:rFonts w:ascii="Times New Roman" w:hAnsi="Times New Roman" w:cs="Times New Roman"/>
                <w:szCs w:val="21"/>
              </w:rPr>
            </w:pPr>
            <w:r>
              <w:rPr>
                <w:rFonts w:hint="eastAsia" w:ascii="Times New Roman" w:hAnsi="Times New Roman" w:cs="Times New Roman"/>
                <w:szCs w:val="21"/>
              </w:rPr>
              <w:t>2704.4</w:t>
            </w:r>
            <w:r>
              <w:rPr>
                <w:rFonts w:ascii="Times New Roman" w:hAnsi="Times New Roman" w:cs="Times New Roman"/>
                <w:szCs w:val="21"/>
              </w:rPr>
              <w:t xml:space="preserve"> </w:t>
            </w:r>
          </w:p>
        </w:tc>
      </w:tr>
    </w:tbl>
    <w:p>
      <w:pPr>
        <w:ind w:firstLine="640" w:firstLineChars="200"/>
        <w:rPr>
          <w:rFonts w:ascii="Times New Roman" w:hAnsi="Times New Roman" w:eastAsia="黑体" w:cs="Times New Roman"/>
          <w:sz w:val="32"/>
          <w:szCs w:val="32"/>
        </w:rPr>
      </w:pPr>
    </w:p>
    <w:p>
      <w:pPr>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二、水利、环境和公共设施管理业</w:t>
      </w:r>
    </w:p>
    <w:p>
      <w:pPr>
        <w:rPr>
          <w:rFonts w:ascii="Times New Roman" w:hAnsi="Times New Roman" w:eastAsia="仿宋_GB2312" w:cs="Times New Roman"/>
          <w:b/>
          <w:sz w:val="32"/>
          <w:szCs w:val="32"/>
        </w:rPr>
      </w:pPr>
      <w:r>
        <w:rPr>
          <w:rFonts w:ascii="Times New Roman" w:hAnsi="Times New Roman" w:eastAsia="仿宋_GB2312" w:cs="Times New Roman"/>
          <w:sz w:val="32"/>
          <w:szCs w:val="32"/>
        </w:rPr>
        <w:t>　　</w:t>
      </w:r>
      <w:r>
        <w:rPr>
          <w:rFonts w:ascii="Times New Roman" w:hAnsi="Times New Roman" w:eastAsia="仿宋_GB2312" w:cs="Times New Roman"/>
          <w:b/>
          <w:sz w:val="32"/>
          <w:szCs w:val="32"/>
        </w:rPr>
        <w:t>（一）法人单位数和从业人员。</w:t>
      </w:r>
    </w:p>
    <w:p>
      <w:pPr>
        <w:rPr>
          <w:rFonts w:ascii="Times New Roman" w:hAnsi="Times New Roman" w:eastAsia="仿宋_GB2312" w:cs="Times New Roman"/>
          <w:color w:val="000000" w:themeColor="text1"/>
          <w:sz w:val="32"/>
          <w:szCs w:val="32"/>
        </w:rPr>
      </w:pPr>
      <w:r>
        <w:rPr>
          <w:rFonts w:ascii="Times New Roman" w:hAnsi="Times New Roman" w:eastAsia="仿宋_GB2312" w:cs="Times New Roman"/>
          <w:sz w:val="32"/>
          <w:szCs w:val="32"/>
        </w:rPr>
        <w:t>　　2018年末，全</w:t>
      </w:r>
      <w:r>
        <w:rPr>
          <w:rFonts w:hint="eastAsia" w:ascii="Times New Roman" w:hAnsi="Times New Roman" w:eastAsia="仿宋_GB2312" w:cs="Times New Roman"/>
          <w:sz w:val="32"/>
          <w:szCs w:val="32"/>
        </w:rPr>
        <w:t>县</w:t>
      </w:r>
      <w:r>
        <w:rPr>
          <w:rFonts w:ascii="Times New Roman" w:hAnsi="Times New Roman" w:eastAsia="仿宋_GB2312" w:cs="Times New Roman"/>
          <w:sz w:val="32"/>
          <w:szCs w:val="32"/>
        </w:rPr>
        <w:t>共有水利、环境和公共设施管理业法人单位</w:t>
      </w:r>
      <w:r>
        <w:rPr>
          <w:rFonts w:hint="eastAsia" w:ascii="Times New Roman" w:hAnsi="Times New Roman" w:eastAsia="仿宋_GB2312" w:cs="Times New Roman"/>
          <w:sz w:val="32"/>
          <w:szCs w:val="32"/>
        </w:rPr>
        <w:t>65</w:t>
      </w:r>
      <w:r>
        <w:rPr>
          <w:rFonts w:ascii="Times New Roman" w:hAnsi="Times New Roman" w:eastAsia="仿宋_GB2312" w:cs="Times New Roman"/>
          <w:sz w:val="32"/>
          <w:szCs w:val="32"/>
        </w:rPr>
        <w:t>个，从业人员</w:t>
      </w:r>
      <w:r>
        <w:rPr>
          <w:rFonts w:hint="eastAsia" w:ascii="Times New Roman" w:hAnsi="Times New Roman" w:eastAsia="仿宋_GB2312" w:cs="Times New Roman"/>
          <w:sz w:val="32"/>
          <w:szCs w:val="32"/>
        </w:rPr>
        <w:t>661</w:t>
      </w:r>
      <w:r>
        <w:rPr>
          <w:rFonts w:ascii="Times New Roman" w:hAnsi="Times New Roman" w:eastAsia="仿宋_GB2312" w:cs="Times New Roman"/>
          <w:sz w:val="32"/>
          <w:szCs w:val="32"/>
        </w:rPr>
        <w:t>人，</w:t>
      </w:r>
      <w:r>
        <w:rPr>
          <w:rFonts w:ascii="Times New Roman" w:hAnsi="Times New Roman" w:eastAsia="仿宋_GB2312" w:cs="Times New Roman"/>
          <w:color w:val="000000" w:themeColor="text1"/>
          <w:sz w:val="32"/>
          <w:szCs w:val="32"/>
        </w:rPr>
        <w:t>分别比2013年末增长</w:t>
      </w:r>
      <w:r>
        <w:rPr>
          <w:rFonts w:hint="eastAsia" w:ascii="Times New Roman" w:hAnsi="Times New Roman" w:eastAsia="仿宋_GB2312" w:cs="Times New Roman"/>
          <w:color w:val="000000" w:themeColor="text1"/>
          <w:sz w:val="32"/>
          <w:szCs w:val="32"/>
        </w:rPr>
        <w:t>-16.7</w:t>
      </w:r>
      <w:r>
        <w:rPr>
          <w:rFonts w:ascii="Times New Roman" w:hAnsi="Times New Roman" w:eastAsia="仿宋_GB2312" w:cs="Times New Roman"/>
          <w:color w:val="000000" w:themeColor="text1"/>
          <w:sz w:val="32"/>
          <w:szCs w:val="32"/>
        </w:rPr>
        <w:t>%和-</w:t>
      </w:r>
      <w:r>
        <w:rPr>
          <w:rFonts w:hint="eastAsia" w:ascii="Times New Roman" w:hAnsi="Times New Roman" w:eastAsia="仿宋_GB2312" w:cs="Times New Roman"/>
          <w:color w:val="000000" w:themeColor="text1"/>
          <w:sz w:val="32"/>
          <w:szCs w:val="32"/>
        </w:rPr>
        <w:t>69.5</w:t>
      </w:r>
      <w:r>
        <w:rPr>
          <w:rFonts w:ascii="Times New Roman" w:hAnsi="Times New Roman" w:eastAsia="仿宋_GB2312" w:cs="Times New Roman"/>
          <w:color w:val="000000" w:themeColor="text1"/>
          <w:sz w:val="32"/>
          <w:szCs w:val="32"/>
        </w:rPr>
        <w:t>%。</w:t>
      </w:r>
      <w:r>
        <w:rPr>
          <w:rFonts w:ascii="Times New Roman" w:hAnsi="Times New Roman" w:eastAsia="仿宋_GB2312" w:cs="Times New Roman"/>
          <w:sz w:val="32"/>
          <w:szCs w:val="32"/>
        </w:rPr>
        <w:t>其中，行政事业及非企业法人单位</w:t>
      </w:r>
      <w:r>
        <w:rPr>
          <w:rFonts w:hint="eastAsia" w:ascii="Times New Roman" w:hAnsi="Times New Roman" w:eastAsia="仿宋_GB2312" w:cs="Times New Roman"/>
          <w:sz w:val="32"/>
          <w:szCs w:val="32"/>
        </w:rPr>
        <w:t>40</w:t>
      </w:r>
      <w:r>
        <w:rPr>
          <w:rFonts w:ascii="Times New Roman" w:hAnsi="Times New Roman" w:eastAsia="仿宋_GB2312" w:cs="Times New Roman"/>
          <w:sz w:val="32"/>
          <w:szCs w:val="32"/>
        </w:rPr>
        <w:t>个，从业人员</w:t>
      </w:r>
      <w:r>
        <w:rPr>
          <w:rFonts w:hint="eastAsia" w:ascii="Times New Roman" w:hAnsi="Times New Roman" w:eastAsia="仿宋_GB2312" w:cs="Times New Roman"/>
          <w:sz w:val="32"/>
          <w:szCs w:val="32"/>
        </w:rPr>
        <w:t>216</w:t>
      </w:r>
      <w:r>
        <w:rPr>
          <w:rFonts w:ascii="Times New Roman" w:hAnsi="Times New Roman" w:eastAsia="仿宋_GB2312" w:cs="Times New Roman"/>
          <w:sz w:val="32"/>
          <w:szCs w:val="32"/>
        </w:rPr>
        <w:t>人，分别</w:t>
      </w:r>
      <w:r>
        <w:rPr>
          <w:rFonts w:ascii="Times New Roman" w:hAnsi="Times New Roman" w:eastAsia="仿宋_GB2312" w:cs="Times New Roman"/>
          <w:color w:val="000000" w:themeColor="text1"/>
          <w:sz w:val="32"/>
          <w:szCs w:val="32"/>
        </w:rPr>
        <w:t>比2013年末下降</w:t>
      </w:r>
      <w:r>
        <w:rPr>
          <w:rFonts w:hint="eastAsia" w:ascii="Times New Roman" w:hAnsi="Times New Roman" w:eastAsia="仿宋_GB2312" w:cs="Times New Roman"/>
          <w:color w:val="000000" w:themeColor="text1"/>
          <w:sz w:val="32"/>
          <w:szCs w:val="32"/>
        </w:rPr>
        <w:t>35.5</w:t>
      </w:r>
      <w:r>
        <w:rPr>
          <w:rFonts w:ascii="Times New Roman" w:hAnsi="Times New Roman" w:eastAsia="仿宋_GB2312" w:cs="Times New Roman"/>
          <w:color w:val="000000" w:themeColor="text1"/>
          <w:sz w:val="32"/>
          <w:szCs w:val="32"/>
        </w:rPr>
        <w:t>%和</w:t>
      </w:r>
      <w:r>
        <w:rPr>
          <w:rFonts w:hint="eastAsia" w:ascii="Times New Roman" w:hAnsi="Times New Roman" w:eastAsia="仿宋_GB2312" w:cs="Times New Roman"/>
          <w:color w:val="000000" w:themeColor="text1"/>
          <w:sz w:val="32"/>
          <w:szCs w:val="32"/>
        </w:rPr>
        <w:t>77.8</w:t>
      </w:r>
      <w:r>
        <w:rPr>
          <w:rFonts w:ascii="Times New Roman" w:hAnsi="Times New Roman" w:eastAsia="仿宋_GB2312" w:cs="Times New Roman"/>
          <w:color w:val="000000" w:themeColor="text1"/>
          <w:sz w:val="32"/>
          <w:szCs w:val="32"/>
        </w:rPr>
        <w:t>%。</w:t>
      </w:r>
    </w:p>
    <w:p>
      <w:pPr>
        <w:rPr>
          <w:rFonts w:ascii="Times New Roman" w:hAnsi="Times New Roman" w:eastAsia="仿宋_GB2312" w:cs="Times New Roman"/>
          <w:b/>
          <w:sz w:val="32"/>
          <w:szCs w:val="32"/>
        </w:rPr>
      </w:pPr>
      <w:r>
        <w:rPr>
          <w:rFonts w:ascii="Times New Roman" w:hAnsi="Times New Roman" w:eastAsia="仿宋_GB2312" w:cs="Times New Roman"/>
          <w:sz w:val="32"/>
          <w:szCs w:val="32"/>
        </w:rPr>
        <w:t>　　</w:t>
      </w:r>
      <w:r>
        <w:rPr>
          <w:rFonts w:ascii="Times New Roman" w:hAnsi="Times New Roman" w:eastAsia="仿宋_GB2312" w:cs="Times New Roman"/>
          <w:b/>
          <w:sz w:val="32"/>
          <w:szCs w:val="32"/>
        </w:rPr>
        <w:t>（二）主要经济指标。</w:t>
      </w:r>
    </w:p>
    <w:p>
      <w:pPr>
        <w:rPr>
          <w:rFonts w:ascii="Times New Roman" w:hAnsi="Times New Roman" w:eastAsia="仿宋_GB2312" w:cs="Times New Roman"/>
          <w:sz w:val="32"/>
          <w:szCs w:val="32"/>
        </w:rPr>
      </w:pPr>
      <w:r>
        <w:rPr>
          <w:rFonts w:ascii="Times New Roman" w:hAnsi="Times New Roman" w:eastAsia="仿宋_GB2312" w:cs="Times New Roman"/>
          <w:sz w:val="32"/>
          <w:szCs w:val="32"/>
        </w:rPr>
        <w:t>　　2018年末，水利、环境和公共设施管理业企业法人单位资产总计</w:t>
      </w:r>
      <w:r>
        <w:rPr>
          <w:rFonts w:hint="eastAsia" w:ascii="Times New Roman" w:hAnsi="Times New Roman" w:eastAsia="仿宋_GB2312" w:cs="Times New Roman"/>
          <w:sz w:val="32"/>
          <w:szCs w:val="32"/>
        </w:rPr>
        <w:t>129781</w:t>
      </w:r>
      <w:r>
        <w:rPr>
          <w:rFonts w:ascii="Times New Roman" w:hAnsi="Times New Roman" w:eastAsia="仿宋_GB2312" w:cs="Times New Roman"/>
          <w:sz w:val="32"/>
          <w:szCs w:val="32"/>
        </w:rPr>
        <w:t>万元，</w:t>
      </w:r>
      <w:r>
        <w:rPr>
          <w:rFonts w:ascii="Times New Roman" w:hAnsi="Times New Roman" w:eastAsia="仿宋_GB2312" w:cs="Times New Roman"/>
          <w:color w:val="000000" w:themeColor="text1"/>
          <w:sz w:val="32"/>
          <w:szCs w:val="32"/>
        </w:rPr>
        <w:t>比2013年末增长</w:t>
      </w:r>
      <w:r>
        <w:rPr>
          <w:rFonts w:hint="eastAsia" w:ascii="Times New Roman" w:hAnsi="Times New Roman" w:eastAsia="仿宋_GB2312" w:cs="Times New Roman"/>
          <w:color w:val="000000" w:themeColor="text1"/>
          <w:sz w:val="32"/>
          <w:szCs w:val="32"/>
        </w:rPr>
        <w:t>66.5</w:t>
      </w:r>
      <w:r>
        <w:rPr>
          <w:rFonts w:ascii="Times New Roman" w:hAnsi="Times New Roman" w:eastAsia="仿宋_GB2312" w:cs="Times New Roman"/>
          <w:color w:val="000000" w:themeColor="text1"/>
          <w:sz w:val="32"/>
          <w:szCs w:val="32"/>
        </w:rPr>
        <w:t>%。</w:t>
      </w:r>
      <w:r>
        <w:rPr>
          <w:rFonts w:ascii="Times New Roman" w:hAnsi="Times New Roman" w:eastAsia="仿宋_GB2312" w:cs="Times New Roman"/>
          <w:sz w:val="32"/>
          <w:szCs w:val="32"/>
        </w:rPr>
        <w:t>负债合计</w:t>
      </w:r>
      <w:r>
        <w:rPr>
          <w:rFonts w:hint="eastAsia" w:ascii="Times New Roman" w:hAnsi="Times New Roman" w:eastAsia="仿宋_GB2312" w:cs="Times New Roman"/>
          <w:sz w:val="32"/>
          <w:szCs w:val="32"/>
        </w:rPr>
        <w:t>66943.3</w:t>
      </w:r>
      <w:r>
        <w:rPr>
          <w:rFonts w:ascii="Times New Roman" w:hAnsi="Times New Roman" w:eastAsia="仿宋_GB2312" w:cs="Times New Roman"/>
          <w:sz w:val="32"/>
          <w:szCs w:val="32"/>
        </w:rPr>
        <w:t>万元。全年实现营业收入</w:t>
      </w:r>
      <w:r>
        <w:rPr>
          <w:rFonts w:hint="eastAsia" w:ascii="Times New Roman" w:hAnsi="Times New Roman" w:eastAsia="仿宋_GB2312" w:cs="Times New Roman"/>
          <w:sz w:val="32"/>
          <w:szCs w:val="32"/>
        </w:rPr>
        <w:t>21162.6</w:t>
      </w:r>
      <w:r>
        <w:rPr>
          <w:rFonts w:ascii="Times New Roman" w:hAnsi="Times New Roman" w:eastAsia="仿宋_GB2312" w:cs="Times New Roman"/>
          <w:sz w:val="32"/>
          <w:szCs w:val="32"/>
        </w:rPr>
        <w:t>万元。</w:t>
      </w:r>
    </w:p>
    <w:p>
      <w:pPr>
        <w:ind w:firstLine="640"/>
        <w:rPr>
          <w:rFonts w:ascii="Times New Roman" w:hAnsi="Times New Roman" w:eastAsia="仿宋_GB2312" w:cs="Times New Roman"/>
          <w:color w:val="000000" w:themeColor="text1"/>
          <w:sz w:val="32"/>
          <w:szCs w:val="32"/>
        </w:rPr>
      </w:pPr>
      <w:r>
        <w:rPr>
          <w:rFonts w:ascii="Times New Roman" w:hAnsi="Times New Roman" w:eastAsia="仿宋_GB2312" w:cs="Times New Roman"/>
          <w:sz w:val="32"/>
          <w:szCs w:val="32"/>
        </w:rPr>
        <w:t>行政事业及非企业法人单位年末资产</w:t>
      </w:r>
      <w:r>
        <w:rPr>
          <w:rFonts w:hint="eastAsia" w:ascii="Times New Roman" w:hAnsi="Times New Roman" w:eastAsia="仿宋_GB2312" w:cs="Times New Roman"/>
          <w:sz w:val="32"/>
          <w:szCs w:val="32"/>
        </w:rPr>
        <w:t>253160.6</w:t>
      </w:r>
      <w:r>
        <w:rPr>
          <w:rFonts w:ascii="Times New Roman" w:hAnsi="Times New Roman" w:eastAsia="仿宋_GB2312" w:cs="Times New Roman"/>
          <w:sz w:val="32"/>
          <w:szCs w:val="32"/>
        </w:rPr>
        <w:t>万元，</w:t>
      </w:r>
      <w:r>
        <w:rPr>
          <w:rFonts w:ascii="Times New Roman" w:hAnsi="Times New Roman" w:eastAsia="仿宋_GB2312" w:cs="Times New Roman"/>
          <w:color w:val="000000" w:themeColor="text1"/>
          <w:sz w:val="32"/>
          <w:szCs w:val="32"/>
        </w:rPr>
        <w:t>比2013年末增长</w:t>
      </w:r>
      <w:r>
        <w:rPr>
          <w:rFonts w:hint="eastAsia" w:ascii="Times New Roman" w:hAnsi="Times New Roman" w:eastAsia="仿宋_GB2312" w:cs="Times New Roman"/>
          <w:color w:val="000000" w:themeColor="text1"/>
          <w:sz w:val="32"/>
          <w:szCs w:val="32"/>
        </w:rPr>
        <w:t>7230.5</w:t>
      </w:r>
      <w:r>
        <w:rPr>
          <w:rFonts w:ascii="Times New Roman" w:hAnsi="Times New Roman" w:eastAsia="仿宋_GB2312" w:cs="Times New Roman"/>
          <w:color w:val="000000" w:themeColor="text1"/>
          <w:sz w:val="32"/>
          <w:szCs w:val="32"/>
        </w:rPr>
        <w:t>%。本年支出（费用）合计</w:t>
      </w:r>
      <w:r>
        <w:rPr>
          <w:rFonts w:hint="eastAsia" w:ascii="Times New Roman" w:hAnsi="Times New Roman" w:eastAsia="仿宋_GB2312" w:cs="Times New Roman"/>
          <w:color w:val="000000" w:themeColor="text1"/>
          <w:sz w:val="32"/>
          <w:szCs w:val="32"/>
        </w:rPr>
        <w:t>27805.6</w:t>
      </w:r>
      <w:r>
        <w:rPr>
          <w:rFonts w:ascii="Times New Roman" w:hAnsi="Times New Roman" w:eastAsia="仿宋_GB2312" w:cs="Times New Roman"/>
          <w:color w:val="000000" w:themeColor="text1"/>
          <w:sz w:val="32"/>
          <w:szCs w:val="32"/>
        </w:rPr>
        <w:t>元。</w:t>
      </w:r>
    </w:p>
    <w:p>
      <w:pPr>
        <w:rPr>
          <w:rFonts w:ascii="Times New Roman" w:hAnsi="Times New Roman" w:eastAsia="黑体" w:cs="Times New Roman"/>
          <w:sz w:val="32"/>
          <w:szCs w:val="32"/>
        </w:rPr>
      </w:pPr>
      <w:r>
        <w:rPr>
          <w:rFonts w:ascii="Times New Roman" w:hAnsi="Times New Roman" w:eastAsia="仿宋_GB2312" w:cs="Times New Roman"/>
          <w:sz w:val="32"/>
          <w:szCs w:val="32"/>
        </w:rPr>
        <w:t>　　</w:t>
      </w:r>
      <w:r>
        <w:rPr>
          <w:rFonts w:ascii="Times New Roman" w:hAnsi="Times New Roman" w:eastAsia="黑体" w:cs="Times New Roman"/>
          <w:sz w:val="32"/>
          <w:szCs w:val="32"/>
        </w:rPr>
        <w:t>三、居民服务、修理和其他服务业</w:t>
      </w:r>
    </w:p>
    <w:p>
      <w:pPr>
        <w:rPr>
          <w:rFonts w:ascii="Times New Roman" w:hAnsi="Times New Roman" w:eastAsia="仿宋_GB2312" w:cs="Times New Roman"/>
          <w:b/>
          <w:sz w:val="32"/>
          <w:szCs w:val="32"/>
        </w:rPr>
      </w:pPr>
      <w:r>
        <w:rPr>
          <w:rFonts w:ascii="Times New Roman" w:hAnsi="Times New Roman" w:eastAsia="仿宋_GB2312" w:cs="Times New Roman"/>
          <w:sz w:val="32"/>
          <w:szCs w:val="32"/>
        </w:rPr>
        <w:t>　　</w:t>
      </w:r>
      <w:r>
        <w:rPr>
          <w:rFonts w:ascii="Times New Roman" w:hAnsi="Times New Roman" w:eastAsia="仿宋_GB2312" w:cs="Times New Roman"/>
          <w:b/>
          <w:sz w:val="32"/>
          <w:szCs w:val="32"/>
        </w:rPr>
        <w:t>（一）企业法人单位数和从业人员。</w:t>
      </w:r>
    </w:p>
    <w:p>
      <w:pPr>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2018年末，全</w:t>
      </w:r>
      <w:r>
        <w:rPr>
          <w:rFonts w:hint="eastAsia" w:ascii="Times New Roman" w:hAnsi="Times New Roman" w:eastAsia="仿宋_GB2312" w:cs="Times New Roman"/>
          <w:sz w:val="32"/>
          <w:szCs w:val="32"/>
        </w:rPr>
        <w:t>县</w:t>
      </w:r>
      <w:r>
        <w:rPr>
          <w:rFonts w:ascii="Times New Roman" w:hAnsi="Times New Roman" w:eastAsia="仿宋_GB2312" w:cs="Times New Roman"/>
          <w:sz w:val="32"/>
          <w:szCs w:val="32"/>
        </w:rPr>
        <w:t>共有居民服务、修理和其他服务业企业法人单位</w:t>
      </w:r>
      <w:r>
        <w:rPr>
          <w:rFonts w:hint="eastAsia" w:ascii="Times New Roman" w:hAnsi="Times New Roman" w:eastAsia="仿宋_GB2312" w:cs="Times New Roman"/>
          <w:sz w:val="32"/>
          <w:szCs w:val="32"/>
        </w:rPr>
        <w:t>35</w:t>
      </w:r>
      <w:r>
        <w:rPr>
          <w:rFonts w:ascii="Times New Roman" w:hAnsi="Times New Roman" w:eastAsia="仿宋_GB2312" w:cs="Times New Roman"/>
          <w:sz w:val="32"/>
          <w:szCs w:val="32"/>
        </w:rPr>
        <w:t>个，从业人员</w:t>
      </w:r>
      <w:r>
        <w:rPr>
          <w:rFonts w:hint="eastAsia" w:ascii="Times New Roman" w:hAnsi="Times New Roman" w:eastAsia="仿宋_GB2312" w:cs="Times New Roman"/>
          <w:sz w:val="32"/>
          <w:szCs w:val="32"/>
        </w:rPr>
        <w:t>205</w:t>
      </w:r>
      <w:r>
        <w:rPr>
          <w:rFonts w:ascii="Times New Roman" w:hAnsi="Times New Roman" w:eastAsia="仿宋_GB2312" w:cs="Times New Roman"/>
          <w:sz w:val="32"/>
          <w:szCs w:val="32"/>
        </w:rPr>
        <w:t>人，分别比2013年末增长</w:t>
      </w:r>
      <w:r>
        <w:rPr>
          <w:rFonts w:hint="eastAsia" w:ascii="Times New Roman" w:hAnsi="Times New Roman" w:eastAsia="仿宋_GB2312" w:cs="Times New Roman"/>
          <w:sz w:val="32"/>
          <w:szCs w:val="32"/>
        </w:rPr>
        <w:t>337.5</w:t>
      </w:r>
      <w:r>
        <w:rPr>
          <w:rFonts w:ascii="Times New Roman" w:hAnsi="Times New Roman" w:eastAsia="仿宋_GB2312" w:cs="Times New Roman"/>
          <w:sz w:val="32"/>
          <w:szCs w:val="32"/>
        </w:rPr>
        <w:t>%和</w:t>
      </w:r>
      <w:r>
        <w:rPr>
          <w:rFonts w:hint="eastAsia" w:ascii="Times New Roman" w:hAnsi="Times New Roman" w:eastAsia="仿宋_GB2312" w:cs="Times New Roman"/>
          <w:sz w:val="32"/>
          <w:szCs w:val="32"/>
        </w:rPr>
        <w:t>下降48.2</w:t>
      </w:r>
      <w:r>
        <w:rPr>
          <w:rFonts w:ascii="Times New Roman" w:hAnsi="Times New Roman" w:eastAsia="仿宋_GB2312" w:cs="Times New Roman"/>
          <w:sz w:val="32"/>
          <w:szCs w:val="32"/>
        </w:rPr>
        <w:t>9%（详见表5-4）。</w:t>
      </w:r>
    </w:p>
    <w:p>
      <w:pPr>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rPr>
          <w:rFonts w:ascii="Times New Roman" w:hAnsi="Times New Roman" w:eastAsia="仿宋_GB2312" w:cs="Times New Roman"/>
          <w:sz w:val="32"/>
          <w:szCs w:val="32"/>
        </w:rPr>
      </w:pPr>
    </w:p>
    <w:p>
      <w:pPr>
        <w:rPr>
          <w:rFonts w:ascii="Times New Roman" w:hAnsi="Times New Roman" w:eastAsia="仿宋_GB2312" w:cs="Times New Roman"/>
          <w:sz w:val="32"/>
          <w:szCs w:val="32"/>
        </w:rPr>
      </w:pPr>
    </w:p>
    <w:p>
      <w:pPr>
        <w:jc w:val="center"/>
        <w:rPr>
          <w:rFonts w:ascii="Times New Roman" w:hAnsi="Times New Roman" w:cs="Times New Roman"/>
          <w:b/>
          <w:sz w:val="24"/>
          <w:szCs w:val="24"/>
        </w:rPr>
      </w:pPr>
      <w:r>
        <w:rPr>
          <w:rFonts w:ascii="Times New Roman" w:hAnsi="Times New Roman" w:cs="Times New Roman"/>
          <w:b/>
          <w:sz w:val="24"/>
          <w:szCs w:val="24"/>
        </w:rPr>
        <w:t>表5-4按行业大类分组的居民服务、修理和其他服务业企业法人单位</w:t>
      </w:r>
    </w:p>
    <w:p>
      <w:pPr>
        <w:jc w:val="center"/>
        <w:rPr>
          <w:rFonts w:ascii="Times New Roman" w:hAnsi="Times New Roman" w:cs="Times New Roman"/>
          <w:b/>
          <w:sz w:val="24"/>
          <w:szCs w:val="24"/>
        </w:rPr>
      </w:pPr>
      <w:r>
        <w:rPr>
          <w:rFonts w:ascii="Times New Roman" w:hAnsi="Times New Roman" w:cs="Times New Roman"/>
          <w:b/>
          <w:sz w:val="24"/>
          <w:szCs w:val="24"/>
        </w:rPr>
        <w:t>和从业人员</w:t>
      </w:r>
    </w:p>
    <w:tbl>
      <w:tblPr>
        <w:tblStyle w:val="5"/>
        <w:tblW w:w="0" w:type="auto"/>
        <w:jc w:val="center"/>
        <w:tblLayout w:type="autofit"/>
        <w:tblCellMar>
          <w:top w:w="0" w:type="dxa"/>
          <w:left w:w="0" w:type="dxa"/>
          <w:bottom w:w="0" w:type="dxa"/>
          <w:right w:w="0" w:type="dxa"/>
        </w:tblCellMar>
      </w:tblPr>
      <w:tblGrid>
        <w:gridCol w:w="4678"/>
        <w:gridCol w:w="2410"/>
        <w:gridCol w:w="1982"/>
      </w:tblGrid>
      <w:tr>
        <w:tblPrEx>
          <w:tblCellMar>
            <w:top w:w="0" w:type="dxa"/>
            <w:left w:w="0" w:type="dxa"/>
            <w:bottom w:w="0" w:type="dxa"/>
            <w:right w:w="0" w:type="dxa"/>
          </w:tblCellMar>
        </w:tblPrEx>
        <w:trPr>
          <w:trHeight w:val="567" w:hRule="atLeast"/>
          <w:jc w:val="center"/>
        </w:trPr>
        <w:tc>
          <w:tcPr>
            <w:tcW w:w="4678" w:type="dxa"/>
            <w:tcBorders>
              <w:top w:val="single" w:color="000000" w:sz="12" w:space="0"/>
              <w:left w:val="nil"/>
              <w:bottom w:val="single" w:color="000000" w:sz="8" w:space="0"/>
              <w:right w:val="single" w:color="000000" w:sz="8" w:space="0"/>
            </w:tcBorders>
            <w:vAlign w:val="center"/>
          </w:tcPr>
          <w:p>
            <w:pPr>
              <w:widowControl/>
              <w:spacing w:line="240" w:lineRule="atLeast"/>
              <w:ind w:left="57" w:right="57"/>
              <w:jc w:val="center"/>
              <w:rPr>
                <w:rFonts w:ascii="Times New Roman" w:hAnsi="Times New Roman" w:eastAsia="宋体" w:cs="Times New Roman"/>
                <w:kern w:val="0"/>
                <w:sz w:val="24"/>
                <w:szCs w:val="24"/>
              </w:rPr>
            </w:pPr>
          </w:p>
        </w:tc>
        <w:tc>
          <w:tcPr>
            <w:tcW w:w="2410" w:type="dxa"/>
            <w:tcBorders>
              <w:top w:val="single" w:color="000000" w:sz="12" w:space="0"/>
              <w:left w:val="nil"/>
              <w:bottom w:val="single" w:color="000000" w:sz="8" w:space="0"/>
              <w:right w:val="single" w:color="000000" w:sz="8" w:space="0"/>
            </w:tcBorders>
            <w:vAlign w:val="center"/>
          </w:tcPr>
          <w:p>
            <w:pPr>
              <w:widowControl/>
              <w:spacing w:line="240" w:lineRule="atLeast"/>
              <w:ind w:left="57" w:right="57"/>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企业法人单位（个）</w:t>
            </w:r>
          </w:p>
        </w:tc>
        <w:tc>
          <w:tcPr>
            <w:tcW w:w="1982" w:type="dxa"/>
            <w:tcBorders>
              <w:top w:val="single" w:color="000000" w:sz="12" w:space="0"/>
              <w:left w:val="nil"/>
              <w:bottom w:val="single" w:color="000000" w:sz="8" w:space="0"/>
              <w:right w:val="nil"/>
            </w:tcBorders>
            <w:vAlign w:val="center"/>
          </w:tcPr>
          <w:p>
            <w:pPr>
              <w:widowControl/>
              <w:spacing w:line="240" w:lineRule="atLeast"/>
              <w:ind w:left="57" w:right="57"/>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从业人员（人）</w:t>
            </w:r>
          </w:p>
        </w:tc>
      </w:tr>
      <w:tr>
        <w:tblPrEx>
          <w:tblCellMar>
            <w:top w:w="0" w:type="dxa"/>
            <w:left w:w="0" w:type="dxa"/>
            <w:bottom w:w="0" w:type="dxa"/>
            <w:right w:w="0" w:type="dxa"/>
          </w:tblCellMar>
        </w:tblPrEx>
        <w:trPr>
          <w:trHeight w:val="283" w:hRule="atLeast"/>
          <w:jc w:val="center"/>
        </w:trPr>
        <w:tc>
          <w:tcPr>
            <w:tcW w:w="4678"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合　计</w:t>
            </w:r>
          </w:p>
        </w:tc>
        <w:tc>
          <w:tcPr>
            <w:tcW w:w="2410"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b/>
                <w:kern w:val="0"/>
                <w:szCs w:val="21"/>
              </w:rPr>
            </w:pPr>
            <w:r>
              <w:rPr>
                <w:rFonts w:hint="eastAsia" w:ascii="Times New Roman" w:hAnsi="Times New Roman" w:eastAsia="宋体" w:cs="Times New Roman"/>
                <w:b/>
                <w:bCs/>
                <w:kern w:val="0"/>
                <w:szCs w:val="21"/>
              </w:rPr>
              <w:t>35</w:t>
            </w:r>
            <w:r>
              <w:rPr>
                <w:rFonts w:ascii="Times New Roman" w:hAnsi="Times New Roman" w:eastAsia="宋体" w:cs="Times New Roman"/>
                <w:b/>
                <w:bCs/>
                <w:kern w:val="0"/>
                <w:szCs w:val="21"/>
              </w:rPr>
              <w:t xml:space="preserve"> </w:t>
            </w:r>
          </w:p>
        </w:tc>
        <w:tc>
          <w:tcPr>
            <w:tcW w:w="1982"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b/>
                <w:kern w:val="0"/>
                <w:szCs w:val="21"/>
              </w:rPr>
            </w:pPr>
            <w:r>
              <w:rPr>
                <w:rFonts w:hint="eastAsia" w:ascii="Times New Roman" w:hAnsi="Times New Roman" w:eastAsia="宋体" w:cs="Times New Roman"/>
                <w:b/>
                <w:kern w:val="0"/>
                <w:szCs w:val="21"/>
              </w:rPr>
              <w:t>205</w:t>
            </w:r>
          </w:p>
        </w:tc>
      </w:tr>
      <w:tr>
        <w:tblPrEx>
          <w:tblCellMar>
            <w:top w:w="0" w:type="dxa"/>
            <w:left w:w="0" w:type="dxa"/>
            <w:bottom w:w="0" w:type="dxa"/>
            <w:right w:w="0" w:type="dxa"/>
          </w:tblCellMar>
        </w:tblPrEx>
        <w:trPr>
          <w:trHeight w:val="283" w:hRule="atLeast"/>
          <w:jc w:val="center"/>
        </w:trPr>
        <w:tc>
          <w:tcPr>
            <w:tcW w:w="4678"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居民服务业</w:t>
            </w:r>
          </w:p>
        </w:tc>
        <w:tc>
          <w:tcPr>
            <w:tcW w:w="2410"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18</w:t>
            </w:r>
            <w:r>
              <w:rPr>
                <w:rFonts w:ascii="Times New Roman" w:hAnsi="Times New Roman" w:eastAsia="宋体" w:cs="Times New Roman"/>
                <w:kern w:val="0"/>
                <w:szCs w:val="21"/>
              </w:rPr>
              <w:t xml:space="preserve"> </w:t>
            </w:r>
          </w:p>
        </w:tc>
        <w:tc>
          <w:tcPr>
            <w:tcW w:w="1982"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127</w:t>
            </w:r>
            <w:r>
              <w:rPr>
                <w:rFonts w:ascii="Times New Roman" w:hAnsi="Times New Roman" w:eastAsia="宋体" w:cs="Times New Roman"/>
                <w:kern w:val="0"/>
                <w:szCs w:val="21"/>
              </w:rPr>
              <w:t xml:space="preserve"> </w:t>
            </w:r>
          </w:p>
        </w:tc>
      </w:tr>
      <w:tr>
        <w:tblPrEx>
          <w:tblCellMar>
            <w:top w:w="0" w:type="dxa"/>
            <w:left w:w="0" w:type="dxa"/>
            <w:bottom w:w="0" w:type="dxa"/>
            <w:right w:w="0" w:type="dxa"/>
          </w:tblCellMar>
        </w:tblPrEx>
        <w:trPr>
          <w:trHeight w:val="283" w:hRule="atLeast"/>
          <w:jc w:val="center"/>
        </w:trPr>
        <w:tc>
          <w:tcPr>
            <w:tcW w:w="4678"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机动车、电子产品和日用产品修理业</w:t>
            </w:r>
          </w:p>
        </w:tc>
        <w:tc>
          <w:tcPr>
            <w:tcW w:w="2410"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9</w:t>
            </w:r>
            <w:r>
              <w:rPr>
                <w:rFonts w:ascii="Times New Roman" w:hAnsi="Times New Roman" w:eastAsia="宋体" w:cs="Times New Roman"/>
                <w:kern w:val="0"/>
                <w:szCs w:val="21"/>
              </w:rPr>
              <w:t xml:space="preserve"> </w:t>
            </w:r>
          </w:p>
        </w:tc>
        <w:tc>
          <w:tcPr>
            <w:tcW w:w="1982"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46</w:t>
            </w:r>
            <w:r>
              <w:rPr>
                <w:rFonts w:ascii="Times New Roman" w:hAnsi="Times New Roman" w:eastAsia="宋体" w:cs="Times New Roman"/>
                <w:kern w:val="0"/>
                <w:szCs w:val="21"/>
              </w:rPr>
              <w:t xml:space="preserve"> </w:t>
            </w:r>
          </w:p>
        </w:tc>
      </w:tr>
      <w:tr>
        <w:tblPrEx>
          <w:tblCellMar>
            <w:top w:w="0" w:type="dxa"/>
            <w:left w:w="0" w:type="dxa"/>
            <w:bottom w:w="0" w:type="dxa"/>
            <w:right w:w="0" w:type="dxa"/>
          </w:tblCellMar>
        </w:tblPrEx>
        <w:trPr>
          <w:trHeight w:val="283" w:hRule="atLeast"/>
          <w:jc w:val="center"/>
        </w:trPr>
        <w:tc>
          <w:tcPr>
            <w:tcW w:w="4678" w:type="dxa"/>
            <w:tcBorders>
              <w:top w:val="nil"/>
              <w:left w:val="nil"/>
              <w:bottom w:val="single" w:color="000000" w:sz="12" w:space="0"/>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其他服务业</w:t>
            </w:r>
          </w:p>
        </w:tc>
        <w:tc>
          <w:tcPr>
            <w:tcW w:w="2410" w:type="dxa"/>
            <w:tcBorders>
              <w:top w:val="nil"/>
              <w:left w:val="nil"/>
              <w:bottom w:val="single" w:color="000000" w:sz="12" w:space="0"/>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8</w:t>
            </w:r>
            <w:r>
              <w:rPr>
                <w:rFonts w:ascii="Times New Roman" w:hAnsi="Times New Roman" w:eastAsia="宋体" w:cs="Times New Roman"/>
                <w:kern w:val="0"/>
                <w:szCs w:val="21"/>
              </w:rPr>
              <w:t xml:space="preserve"> </w:t>
            </w:r>
          </w:p>
        </w:tc>
        <w:tc>
          <w:tcPr>
            <w:tcW w:w="1982" w:type="dxa"/>
            <w:tcBorders>
              <w:top w:val="nil"/>
              <w:left w:val="nil"/>
              <w:bottom w:val="single" w:color="000000" w:sz="12" w:space="0"/>
              <w:right w:val="nil"/>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32</w:t>
            </w:r>
          </w:p>
        </w:tc>
      </w:tr>
    </w:tbl>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在居民服务、修理和其他服务业企业法人单位中，内资企业占100%，港、澳、台商投资企业占0%，外商投资企业占0%。</w:t>
      </w:r>
    </w:p>
    <w:p>
      <w:pPr>
        <w:rPr>
          <w:rFonts w:ascii="Times New Roman" w:hAnsi="Times New Roman" w:eastAsia="仿宋_GB2312" w:cs="Times New Roman"/>
          <w:sz w:val="10"/>
          <w:szCs w:val="10"/>
        </w:rPr>
      </w:pPr>
      <w:r>
        <w:rPr>
          <w:rFonts w:ascii="Times New Roman" w:hAnsi="Times New Roman" w:eastAsia="仿宋_GB2312" w:cs="Times New Roman"/>
          <w:sz w:val="32"/>
          <w:szCs w:val="32"/>
        </w:rPr>
        <w:t xml:space="preserve">    在居民服务、修理和其他服务业企业法人单位从业人员中，内资企业占100%，港、澳、台商投资企业占0%，外商投资企业占0%（详见表5-5）。</w:t>
      </w:r>
    </w:p>
    <w:p>
      <w:pPr>
        <w:rPr>
          <w:rFonts w:ascii="Times New Roman" w:hAnsi="Times New Roman" w:eastAsia="仿宋_GB2312" w:cs="Times New Roman"/>
          <w:sz w:val="10"/>
          <w:szCs w:val="10"/>
        </w:rPr>
      </w:pPr>
    </w:p>
    <w:p>
      <w:pPr>
        <w:jc w:val="center"/>
        <w:rPr>
          <w:rFonts w:ascii="Times New Roman" w:hAnsi="Times New Roman" w:cs="Times New Roman"/>
          <w:b/>
          <w:sz w:val="24"/>
          <w:szCs w:val="24"/>
        </w:rPr>
      </w:pPr>
      <w:r>
        <w:rPr>
          <w:rFonts w:ascii="Times New Roman" w:hAnsi="Times New Roman" w:cs="Times New Roman"/>
          <w:b/>
          <w:sz w:val="24"/>
          <w:szCs w:val="24"/>
        </w:rPr>
        <w:t>表5-5　按登记注册类型分组的居民服务、修理和其他服务业企业法人单位和从业人员</w:t>
      </w:r>
    </w:p>
    <w:tbl>
      <w:tblPr>
        <w:tblStyle w:val="5"/>
        <w:tblW w:w="0" w:type="auto"/>
        <w:jc w:val="center"/>
        <w:tblLayout w:type="autofit"/>
        <w:tblCellMar>
          <w:top w:w="0" w:type="dxa"/>
          <w:left w:w="0" w:type="dxa"/>
          <w:bottom w:w="0" w:type="dxa"/>
          <w:right w:w="0" w:type="dxa"/>
        </w:tblCellMar>
      </w:tblPr>
      <w:tblGrid>
        <w:gridCol w:w="3495"/>
        <w:gridCol w:w="3093"/>
        <w:gridCol w:w="2482"/>
      </w:tblGrid>
      <w:tr>
        <w:tblPrEx>
          <w:tblCellMar>
            <w:top w:w="0" w:type="dxa"/>
            <w:left w:w="0" w:type="dxa"/>
            <w:bottom w:w="0" w:type="dxa"/>
            <w:right w:w="0" w:type="dxa"/>
          </w:tblCellMar>
        </w:tblPrEx>
        <w:trPr>
          <w:trHeight w:val="567" w:hRule="atLeast"/>
          <w:jc w:val="center"/>
        </w:trPr>
        <w:tc>
          <w:tcPr>
            <w:tcW w:w="3737" w:type="dxa"/>
            <w:tcBorders>
              <w:top w:val="single" w:color="000000" w:sz="12" w:space="0"/>
              <w:left w:val="nil"/>
              <w:bottom w:val="single" w:color="000000" w:sz="8" w:space="0"/>
              <w:right w:val="single" w:color="000000" w:sz="8" w:space="0"/>
            </w:tcBorders>
            <w:vAlign w:val="center"/>
          </w:tcPr>
          <w:p>
            <w:pPr>
              <w:widowControl/>
              <w:spacing w:line="240" w:lineRule="atLeast"/>
              <w:ind w:left="57" w:right="57"/>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 </w:t>
            </w:r>
          </w:p>
        </w:tc>
        <w:tc>
          <w:tcPr>
            <w:tcW w:w="3281" w:type="dxa"/>
            <w:tcBorders>
              <w:top w:val="single" w:color="000000" w:sz="12" w:space="0"/>
              <w:left w:val="nil"/>
              <w:bottom w:val="single" w:color="000000" w:sz="8" w:space="0"/>
              <w:right w:val="single" w:color="000000" w:sz="8" w:space="0"/>
            </w:tcBorders>
            <w:vAlign w:val="center"/>
          </w:tcPr>
          <w:p>
            <w:pPr>
              <w:widowControl/>
              <w:spacing w:line="240" w:lineRule="atLeast"/>
              <w:ind w:left="57" w:right="57"/>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企业法人单位（个）</w:t>
            </w:r>
          </w:p>
        </w:tc>
        <w:tc>
          <w:tcPr>
            <w:tcW w:w="2620" w:type="dxa"/>
            <w:tcBorders>
              <w:top w:val="single" w:color="000000" w:sz="12" w:space="0"/>
              <w:left w:val="nil"/>
              <w:bottom w:val="single" w:color="000000" w:sz="8" w:space="0"/>
              <w:right w:val="nil"/>
            </w:tcBorders>
            <w:vAlign w:val="center"/>
          </w:tcPr>
          <w:p>
            <w:pPr>
              <w:widowControl/>
              <w:spacing w:line="240" w:lineRule="atLeast"/>
              <w:ind w:left="57" w:right="57"/>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从业人员（人）</w:t>
            </w:r>
          </w:p>
        </w:tc>
      </w:tr>
      <w:tr>
        <w:tblPrEx>
          <w:tblCellMar>
            <w:top w:w="0" w:type="dxa"/>
            <w:left w:w="0" w:type="dxa"/>
            <w:bottom w:w="0" w:type="dxa"/>
            <w:right w:w="0" w:type="dxa"/>
          </w:tblCellMar>
        </w:tblPrEx>
        <w:trPr>
          <w:trHeight w:val="283" w:hRule="atLeast"/>
          <w:jc w:val="center"/>
        </w:trPr>
        <w:tc>
          <w:tcPr>
            <w:tcW w:w="3737"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合　计</w:t>
            </w:r>
          </w:p>
        </w:tc>
        <w:tc>
          <w:tcPr>
            <w:tcW w:w="3281"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35</w:t>
            </w:r>
            <w:r>
              <w:rPr>
                <w:rFonts w:ascii="Times New Roman" w:hAnsi="Times New Roman" w:eastAsia="宋体" w:cs="Times New Roman"/>
                <w:b/>
                <w:bCs/>
                <w:kern w:val="0"/>
                <w:sz w:val="24"/>
                <w:szCs w:val="24"/>
              </w:rPr>
              <w:t xml:space="preserve"> </w:t>
            </w:r>
          </w:p>
        </w:tc>
        <w:tc>
          <w:tcPr>
            <w:tcW w:w="2620"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205</w:t>
            </w:r>
            <w:r>
              <w:rPr>
                <w:rFonts w:ascii="Times New Roman" w:hAnsi="Times New Roman" w:eastAsia="宋体" w:cs="Times New Roman"/>
                <w:b/>
                <w:bCs/>
                <w:kern w:val="0"/>
                <w:sz w:val="24"/>
                <w:szCs w:val="24"/>
              </w:rPr>
              <w:t xml:space="preserve"> </w:t>
            </w:r>
          </w:p>
        </w:tc>
      </w:tr>
      <w:tr>
        <w:tblPrEx>
          <w:tblCellMar>
            <w:top w:w="0" w:type="dxa"/>
            <w:left w:w="0" w:type="dxa"/>
            <w:bottom w:w="0" w:type="dxa"/>
            <w:right w:w="0" w:type="dxa"/>
          </w:tblCellMar>
        </w:tblPrEx>
        <w:trPr>
          <w:trHeight w:val="283" w:hRule="atLeast"/>
          <w:jc w:val="center"/>
        </w:trPr>
        <w:tc>
          <w:tcPr>
            <w:tcW w:w="3737"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内资企业</w:t>
            </w:r>
          </w:p>
        </w:tc>
        <w:tc>
          <w:tcPr>
            <w:tcW w:w="3281"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35</w:t>
            </w:r>
            <w:r>
              <w:rPr>
                <w:rFonts w:ascii="Times New Roman" w:hAnsi="Times New Roman" w:eastAsia="宋体" w:cs="Times New Roman"/>
                <w:b/>
                <w:bCs/>
                <w:kern w:val="0"/>
                <w:sz w:val="24"/>
                <w:szCs w:val="24"/>
              </w:rPr>
              <w:t xml:space="preserve"> </w:t>
            </w:r>
          </w:p>
        </w:tc>
        <w:tc>
          <w:tcPr>
            <w:tcW w:w="2620"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205</w:t>
            </w:r>
          </w:p>
        </w:tc>
      </w:tr>
      <w:tr>
        <w:tblPrEx>
          <w:tblCellMar>
            <w:top w:w="0" w:type="dxa"/>
            <w:left w:w="0" w:type="dxa"/>
            <w:bottom w:w="0" w:type="dxa"/>
            <w:right w:w="0" w:type="dxa"/>
          </w:tblCellMar>
        </w:tblPrEx>
        <w:trPr>
          <w:trHeight w:val="283" w:hRule="atLeast"/>
          <w:jc w:val="center"/>
        </w:trPr>
        <w:tc>
          <w:tcPr>
            <w:tcW w:w="3737"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国有企业</w:t>
            </w:r>
          </w:p>
        </w:tc>
        <w:tc>
          <w:tcPr>
            <w:tcW w:w="3281"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0</w:t>
            </w:r>
            <w:r>
              <w:rPr>
                <w:rFonts w:ascii="Times New Roman" w:hAnsi="Times New Roman" w:eastAsia="宋体" w:cs="Times New Roman"/>
                <w:kern w:val="0"/>
                <w:sz w:val="24"/>
                <w:szCs w:val="24"/>
              </w:rPr>
              <w:t xml:space="preserve"> </w:t>
            </w:r>
          </w:p>
        </w:tc>
        <w:tc>
          <w:tcPr>
            <w:tcW w:w="2620"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0</w:t>
            </w:r>
          </w:p>
        </w:tc>
      </w:tr>
      <w:tr>
        <w:tblPrEx>
          <w:tblCellMar>
            <w:top w:w="0" w:type="dxa"/>
            <w:left w:w="0" w:type="dxa"/>
            <w:bottom w:w="0" w:type="dxa"/>
            <w:right w:w="0" w:type="dxa"/>
          </w:tblCellMar>
        </w:tblPrEx>
        <w:trPr>
          <w:trHeight w:val="283" w:hRule="atLeast"/>
          <w:jc w:val="center"/>
        </w:trPr>
        <w:tc>
          <w:tcPr>
            <w:tcW w:w="3737"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集体企业</w:t>
            </w:r>
          </w:p>
        </w:tc>
        <w:tc>
          <w:tcPr>
            <w:tcW w:w="3281"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0 </w:t>
            </w:r>
          </w:p>
        </w:tc>
        <w:tc>
          <w:tcPr>
            <w:tcW w:w="2620"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0 </w:t>
            </w:r>
          </w:p>
        </w:tc>
      </w:tr>
      <w:tr>
        <w:trPr>
          <w:trHeight w:val="283" w:hRule="atLeast"/>
          <w:jc w:val="center"/>
        </w:trPr>
        <w:tc>
          <w:tcPr>
            <w:tcW w:w="3737"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股份合作企业</w:t>
            </w:r>
          </w:p>
        </w:tc>
        <w:tc>
          <w:tcPr>
            <w:tcW w:w="3281"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0 </w:t>
            </w:r>
          </w:p>
        </w:tc>
        <w:tc>
          <w:tcPr>
            <w:tcW w:w="2620"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0 </w:t>
            </w:r>
          </w:p>
        </w:tc>
      </w:tr>
      <w:tr>
        <w:tblPrEx>
          <w:tblCellMar>
            <w:top w:w="0" w:type="dxa"/>
            <w:left w:w="0" w:type="dxa"/>
            <w:bottom w:w="0" w:type="dxa"/>
            <w:right w:w="0" w:type="dxa"/>
          </w:tblCellMar>
        </w:tblPrEx>
        <w:trPr>
          <w:trHeight w:val="283" w:hRule="atLeast"/>
          <w:jc w:val="center"/>
        </w:trPr>
        <w:tc>
          <w:tcPr>
            <w:tcW w:w="3737"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联营企业</w:t>
            </w:r>
          </w:p>
        </w:tc>
        <w:tc>
          <w:tcPr>
            <w:tcW w:w="3281"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0 </w:t>
            </w:r>
          </w:p>
        </w:tc>
        <w:tc>
          <w:tcPr>
            <w:tcW w:w="2620"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0 </w:t>
            </w:r>
          </w:p>
        </w:tc>
      </w:tr>
      <w:tr>
        <w:tblPrEx>
          <w:tblCellMar>
            <w:top w:w="0" w:type="dxa"/>
            <w:left w:w="0" w:type="dxa"/>
            <w:bottom w:w="0" w:type="dxa"/>
            <w:right w:w="0" w:type="dxa"/>
          </w:tblCellMar>
        </w:tblPrEx>
        <w:trPr>
          <w:trHeight w:val="283" w:hRule="atLeast"/>
          <w:jc w:val="center"/>
        </w:trPr>
        <w:tc>
          <w:tcPr>
            <w:tcW w:w="3737"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有限责任公司</w:t>
            </w:r>
          </w:p>
        </w:tc>
        <w:tc>
          <w:tcPr>
            <w:tcW w:w="3281"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2</w:t>
            </w:r>
            <w:r>
              <w:rPr>
                <w:rFonts w:ascii="Times New Roman" w:hAnsi="Times New Roman" w:eastAsia="宋体" w:cs="Times New Roman"/>
                <w:kern w:val="0"/>
                <w:sz w:val="24"/>
                <w:szCs w:val="24"/>
              </w:rPr>
              <w:t xml:space="preserve"> </w:t>
            </w:r>
          </w:p>
        </w:tc>
        <w:tc>
          <w:tcPr>
            <w:tcW w:w="2620"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14</w:t>
            </w:r>
            <w:r>
              <w:rPr>
                <w:rFonts w:ascii="Times New Roman" w:hAnsi="Times New Roman" w:eastAsia="宋体" w:cs="Times New Roman"/>
                <w:kern w:val="0"/>
                <w:sz w:val="24"/>
                <w:szCs w:val="24"/>
              </w:rPr>
              <w:t xml:space="preserve"> </w:t>
            </w:r>
          </w:p>
        </w:tc>
      </w:tr>
      <w:tr>
        <w:tblPrEx>
          <w:tblCellMar>
            <w:top w:w="0" w:type="dxa"/>
            <w:left w:w="0" w:type="dxa"/>
            <w:bottom w:w="0" w:type="dxa"/>
            <w:right w:w="0" w:type="dxa"/>
          </w:tblCellMar>
        </w:tblPrEx>
        <w:trPr>
          <w:trHeight w:val="283" w:hRule="atLeast"/>
          <w:jc w:val="center"/>
        </w:trPr>
        <w:tc>
          <w:tcPr>
            <w:tcW w:w="3737"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股份有限公司</w:t>
            </w:r>
          </w:p>
        </w:tc>
        <w:tc>
          <w:tcPr>
            <w:tcW w:w="3281"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0</w:t>
            </w:r>
            <w:r>
              <w:rPr>
                <w:rFonts w:ascii="Times New Roman" w:hAnsi="Times New Roman" w:eastAsia="宋体" w:cs="Times New Roman"/>
                <w:kern w:val="0"/>
                <w:sz w:val="24"/>
                <w:szCs w:val="24"/>
              </w:rPr>
              <w:t xml:space="preserve"> </w:t>
            </w:r>
          </w:p>
        </w:tc>
        <w:tc>
          <w:tcPr>
            <w:tcW w:w="2620"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0</w:t>
            </w:r>
            <w:r>
              <w:rPr>
                <w:rFonts w:ascii="Times New Roman" w:hAnsi="Times New Roman" w:eastAsia="宋体" w:cs="Times New Roman"/>
                <w:kern w:val="0"/>
                <w:sz w:val="24"/>
                <w:szCs w:val="24"/>
              </w:rPr>
              <w:t xml:space="preserve"> </w:t>
            </w:r>
          </w:p>
        </w:tc>
      </w:tr>
      <w:tr>
        <w:tblPrEx>
          <w:tblCellMar>
            <w:top w:w="0" w:type="dxa"/>
            <w:left w:w="0" w:type="dxa"/>
            <w:bottom w:w="0" w:type="dxa"/>
            <w:right w:w="0" w:type="dxa"/>
          </w:tblCellMar>
        </w:tblPrEx>
        <w:trPr>
          <w:trHeight w:val="283" w:hRule="atLeast"/>
          <w:jc w:val="center"/>
        </w:trPr>
        <w:tc>
          <w:tcPr>
            <w:tcW w:w="3737"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私营企业</w:t>
            </w:r>
          </w:p>
        </w:tc>
        <w:tc>
          <w:tcPr>
            <w:tcW w:w="3281"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33</w:t>
            </w:r>
            <w:r>
              <w:rPr>
                <w:rFonts w:ascii="Times New Roman" w:hAnsi="Times New Roman" w:eastAsia="宋体" w:cs="Times New Roman"/>
                <w:kern w:val="0"/>
                <w:sz w:val="24"/>
                <w:szCs w:val="24"/>
              </w:rPr>
              <w:t xml:space="preserve"> </w:t>
            </w:r>
          </w:p>
        </w:tc>
        <w:tc>
          <w:tcPr>
            <w:tcW w:w="2620"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191</w:t>
            </w:r>
          </w:p>
        </w:tc>
      </w:tr>
      <w:tr>
        <w:tblPrEx>
          <w:tblCellMar>
            <w:top w:w="0" w:type="dxa"/>
            <w:left w:w="0" w:type="dxa"/>
            <w:bottom w:w="0" w:type="dxa"/>
            <w:right w:w="0" w:type="dxa"/>
          </w:tblCellMar>
        </w:tblPrEx>
        <w:trPr>
          <w:trHeight w:val="283" w:hRule="atLeast"/>
          <w:jc w:val="center"/>
        </w:trPr>
        <w:tc>
          <w:tcPr>
            <w:tcW w:w="3737"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其他企业</w:t>
            </w:r>
          </w:p>
        </w:tc>
        <w:tc>
          <w:tcPr>
            <w:tcW w:w="3281"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0 </w:t>
            </w:r>
          </w:p>
        </w:tc>
        <w:tc>
          <w:tcPr>
            <w:tcW w:w="2620"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0 </w:t>
            </w:r>
          </w:p>
        </w:tc>
      </w:tr>
      <w:tr>
        <w:tblPrEx>
          <w:tblCellMar>
            <w:top w:w="0" w:type="dxa"/>
            <w:left w:w="0" w:type="dxa"/>
            <w:bottom w:w="0" w:type="dxa"/>
            <w:right w:w="0" w:type="dxa"/>
          </w:tblCellMar>
        </w:tblPrEx>
        <w:trPr>
          <w:trHeight w:val="283" w:hRule="atLeast"/>
          <w:jc w:val="center"/>
        </w:trPr>
        <w:tc>
          <w:tcPr>
            <w:tcW w:w="3737"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港、澳、台商投资企业</w:t>
            </w:r>
          </w:p>
        </w:tc>
        <w:tc>
          <w:tcPr>
            <w:tcW w:w="3281"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 xml:space="preserve">0 </w:t>
            </w:r>
          </w:p>
        </w:tc>
        <w:tc>
          <w:tcPr>
            <w:tcW w:w="2620"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 xml:space="preserve">0 </w:t>
            </w:r>
          </w:p>
        </w:tc>
      </w:tr>
      <w:tr>
        <w:tblPrEx>
          <w:tblCellMar>
            <w:top w:w="0" w:type="dxa"/>
            <w:left w:w="0" w:type="dxa"/>
            <w:bottom w:w="0" w:type="dxa"/>
            <w:right w:w="0" w:type="dxa"/>
          </w:tblCellMar>
        </w:tblPrEx>
        <w:trPr>
          <w:trHeight w:val="283" w:hRule="atLeast"/>
          <w:jc w:val="center"/>
        </w:trPr>
        <w:tc>
          <w:tcPr>
            <w:tcW w:w="3737" w:type="dxa"/>
            <w:tcBorders>
              <w:top w:val="nil"/>
              <w:left w:val="nil"/>
              <w:bottom w:val="single" w:color="000000" w:sz="12" w:space="0"/>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外商投资企业</w:t>
            </w:r>
          </w:p>
        </w:tc>
        <w:tc>
          <w:tcPr>
            <w:tcW w:w="3281" w:type="dxa"/>
            <w:tcBorders>
              <w:top w:val="nil"/>
              <w:left w:val="nil"/>
              <w:bottom w:val="single" w:color="000000" w:sz="12" w:space="0"/>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 xml:space="preserve">0 </w:t>
            </w:r>
          </w:p>
        </w:tc>
        <w:tc>
          <w:tcPr>
            <w:tcW w:w="2620" w:type="dxa"/>
            <w:tcBorders>
              <w:top w:val="nil"/>
              <w:left w:val="nil"/>
              <w:bottom w:val="single" w:color="000000" w:sz="12" w:space="0"/>
              <w:right w:val="nil"/>
            </w:tcBorders>
            <w:vAlign w:val="center"/>
          </w:tcPr>
          <w:p>
            <w:pPr>
              <w:widowControl/>
              <w:spacing w:line="240" w:lineRule="atLeast"/>
              <w:ind w:left="57" w:right="57"/>
              <w:jc w:val="righ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0</w:t>
            </w:r>
          </w:p>
        </w:tc>
      </w:tr>
    </w:tbl>
    <w:p>
      <w:pPr>
        <w:ind w:firstLine="482" w:firstLineChars="150"/>
        <w:rPr>
          <w:rFonts w:ascii="Times New Roman" w:hAnsi="Times New Roman" w:eastAsia="仿宋_GB2312" w:cs="Times New Roman"/>
          <w:b/>
          <w:sz w:val="32"/>
          <w:szCs w:val="32"/>
        </w:rPr>
      </w:pPr>
    </w:p>
    <w:p>
      <w:pPr>
        <w:ind w:firstLine="482" w:firstLineChars="150"/>
        <w:rPr>
          <w:rFonts w:ascii="Times New Roman" w:hAnsi="Times New Roman" w:eastAsia="仿宋_GB2312" w:cs="Times New Roman"/>
          <w:b/>
          <w:sz w:val="32"/>
          <w:szCs w:val="32"/>
        </w:rPr>
      </w:pPr>
      <w:r>
        <w:rPr>
          <w:rFonts w:ascii="Times New Roman" w:hAnsi="Times New Roman" w:eastAsia="仿宋_GB2312" w:cs="Times New Roman"/>
          <w:b/>
          <w:sz w:val="32"/>
          <w:szCs w:val="32"/>
        </w:rPr>
        <w:t>（二）主要经济指标。</w:t>
      </w:r>
    </w:p>
    <w:p>
      <w:pPr>
        <w:ind w:firstLine="600"/>
        <w:rPr>
          <w:rFonts w:ascii="Times New Roman" w:hAnsi="Times New Roman" w:eastAsia="仿宋_GB2312" w:cs="Times New Roman"/>
          <w:sz w:val="32"/>
          <w:szCs w:val="32"/>
        </w:rPr>
      </w:pPr>
      <w:r>
        <w:rPr>
          <w:rFonts w:ascii="Times New Roman" w:hAnsi="Times New Roman" w:eastAsia="仿宋_GB2312" w:cs="Times New Roman"/>
          <w:sz w:val="32"/>
          <w:szCs w:val="32"/>
        </w:rPr>
        <w:t>2018年末，居民服务、修理和其他服务业企业法人单位资产总计</w:t>
      </w:r>
      <w:r>
        <w:rPr>
          <w:rFonts w:hint="eastAsia" w:ascii="Times New Roman" w:hAnsi="Times New Roman" w:eastAsia="仿宋_GB2312" w:cs="Times New Roman"/>
          <w:sz w:val="32"/>
          <w:szCs w:val="32"/>
        </w:rPr>
        <w:t>1325.8</w:t>
      </w:r>
      <w:r>
        <w:rPr>
          <w:rFonts w:ascii="Times New Roman" w:hAnsi="Times New Roman" w:eastAsia="仿宋_GB2312" w:cs="Times New Roman"/>
          <w:sz w:val="32"/>
          <w:szCs w:val="32"/>
        </w:rPr>
        <w:t>万元，</w:t>
      </w:r>
      <w:r>
        <w:rPr>
          <w:rFonts w:ascii="Times New Roman" w:hAnsi="Times New Roman" w:eastAsia="仿宋_GB2312" w:cs="Times New Roman"/>
          <w:color w:val="000000" w:themeColor="text1"/>
          <w:sz w:val="32"/>
          <w:szCs w:val="32"/>
        </w:rPr>
        <w:t>比2013年末增长</w:t>
      </w:r>
      <w:r>
        <w:rPr>
          <w:rFonts w:hint="eastAsia" w:ascii="Times New Roman" w:hAnsi="Times New Roman" w:eastAsia="仿宋_GB2312" w:cs="Times New Roman"/>
          <w:color w:val="000000" w:themeColor="text1"/>
          <w:sz w:val="32"/>
          <w:szCs w:val="32"/>
        </w:rPr>
        <w:t>220.6</w:t>
      </w:r>
      <w:r>
        <w:rPr>
          <w:rFonts w:ascii="Times New Roman" w:hAnsi="Times New Roman" w:eastAsia="仿宋_GB2312" w:cs="Times New Roman"/>
          <w:color w:val="000000" w:themeColor="text1"/>
          <w:sz w:val="32"/>
          <w:szCs w:val="32"/>
        </w:rPr>
        <w:t>%。</w:t>
      </w:r>
      <w:r>
        <w:rPr>
          <w:rFonts w:ascii="Times New Roman" w:hAnsi="Times New Roman" w:eastAsia="仿宋_GB2312" w:cs="Times New Roman"/>
          <w:sz w:val="32"/>
          <w:szCs w:val="32"/>
        </w:rPr>
        <w:t>负债合计</w:t>
      </w:r>
      <w:r>
        <w:rPr>
          <w:rFonts w:hint="eastAsia" w:ascii="Times New Roman" w:hAnsi="Times New Roman" w:eastAsia="仿宋_GB2312" w:cs="Times New Roman"/>
          <w:sz w:val="32"/>
          <w:szCs w:val="32"/>
        </w:rPr>
        <w:t>206.2</w:t>
      </w:r>
      <w:r>
        <w:rPr>
          <w:rFonts w:ascii="Times New Roman" w:hAnsi="Times New Roman" w:eastAsia="仿宋_GB2312" w:cs="Times New Roman"/>
          <w:sz w:val="32"/>
          <w:szCs w:val="32"/>
        </w:rPr>
        <w:t>万元。全年实现营业收入</w:t>
      </w:r>
      <w:r>
        <w:rPr>
          <w:rFonts w:hint="eastAsia" w:ascii="Times New Roman" w:hAnsi="Times New Roman" w:eastAsia="仿宋_GB2312" w:cs="Times New Roman"/>
          <w:sz w:val="32"/>
          <w:szCs w:val="32"/>
        </w:rPr>
        <w:t>1670.3</w:t>
      </w:r>
      <w:r>
        <w:rPr>
          <w:rFonts w:ascii="Times New Roman" w:hAnsi="Times New Roman" w:eastAsia="仿宋_GB2312" w:cs="Times New Roman"/>
          <w:sz w:val="32"/>
          <w:szCs w:val="32"/>
        </w:rPr>
        <w:t>万元（详见表5-6）。</w:t>
      </w:r>
    </w:p>
    <w:p>
      <w:pPr>
        <w:jc w:val="center"/>
        <w:rPr>
          <w:rFonts w:ascii="Times New Roman" w:hAnsi="Times New Roman" w:cs="Times New Roman"/>
          <w:b/>
          <w:sz w:val="24"/>
          <w:szCs w:val="24"/>
        </w:rPr>
      </w:pPr>
      <w:r>
        <w:rPr>
          <w:rFonts w:ascii="Times New Roman" w:hAnsi="Times New Roman" w:cs="Times New Roman"/>
          <w:b/>
          <w:sz w:val="24"/>
          <w:szCs w:val="24"/>
        </w:rPr>
        <w:t>表5-6　按行业大类分组的居民服务、修理和其他服务业企业法人单位</w:t>
      </w:r>
    </w:p>
    <w:p>
      <w:pPr>
        <w:jc w:val="center"/>
        <w:rPr>
          <w:rFonts w:ascii="Times New Roman" w:hAnsi="Times New Roman" w:cs="Times New Roman"/>
          <w:b/>
          <w:sz w:val="10"/>
          <w:szCs w:val="10"/>
        </w:rPr>
      </w:pPr>
      <w:r>
        <w:rPr>
          <w:rFonts w:ascii="Times New Roman" w:hAnsi="Times New Roman" w:cs="Times New Roman"/>
          <w:b/>
          <w:sz w:val="24"/>
          <w:szCs w:val="24"/>
        </w:rPr>
        <w:t>主要经济指标</w:t>
      </w:r>
    </w:p>
    <w:p>
      <w:pPr>
        <w:jc w:val="center"/>
        <w:rPr>
          <w:rFonts w:ascii="Times New Roman" w:hAnsi="Times New Roman" w:cs="Times New Roman"/>
          <w:b/>
          <w:sz w:val="10"/>
          <w:szCs w:val="10"/>
        </w:rPr>
      </w:pPr>
    </w:p>
    <w:tbl>
      <w:tblPr>
        <w:tblStyle w:val="5"/>
        <w:tblW w:w="0" w:type="auto"/>
        <w:jc w:val="center"/>
        <w:tblLayout w:type="autofit"/>
        <w:tblCellMar>
          <w:top w:w="0" w:type="dxa"/>
          <w:left w:w="0" w:type="dxa"/>
          <w:bottom w:w="0" w:type="dxa"/>
          <w:right w:w="0" w:type="dxa"/>
        </w:tblCellMar>
      </w:tblPr>
      <w:tblGrid>
        <w:gridCol w:w="4111"/>
        <w:gridCol w:w="1701"/>
        <w:gridCol w:w="1701"/>
        <w:gridCol w:w="1557"/>
      </w:tblGrid>
      <w:tr>
        <w:tblPrEx>
          <w:tblCellMar>
            <w:top w:w="0" w:type="dxa"/>
            <w:left w:w="0" w:type="dxa"/>
            <w:bottom w:w="0" w:type="dxa"/>
            <w:right w:w="0" w:type="dxa"/>
          </w:tblCellMar>
        </w:tblPrEx>
        <w:trPr>
          <w:trHeight w:val="567" w:hRule="atLeast"/>
          <w:jc w:val="center"/>
        </w:trPr>
        <w:tc>
          <w:tcPr>
            <w:tcW w:w="4111" w:type="dxa"/>
            <w:tcBorders>
              <w:top w:val="single" w:color="000000" w:sz="12" w:space="0"/>
              <w:left w:val="nil"/>
              <w:bottom w:val="single" w:color="000000" w:sz="8" w:space="0"/>
              <w:right w:val="single" w:color="000000" w:sz="8" w:space="0"/>
            </w:tcBorders>
            <w:vAlign w:val="center"/>
          </w:tcPr>
          <w:p>
            <w:pPr>
              <w:widowControl/>
              <w:spacing w:line="240" w:lineRule="atLeast"/>
              <w:ind w:left="57" w:right="57" w:firstLine="500"/>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　</w:t>
            </w:r>
          </w:p>
        </w:tc>
        <w:tc>
          <w:tcPr>
            <w:tcW w:w="1701" w:type="dxa"/>
            <w:tcBorders>
              <w:top w:val="single" w:color="000000" w:sz="12" w:space="0"/>
              <w:left w:val="nil"/>
              <w:bottom w:val="single" w:color="000000" w:sz="8" w:space="0"/>
              <w:right w:val="single" w:color="000000" w:sz="8" w:space="0"/>
            </w:tcBorders>
            <w:vAlign w:val="center"/>
          </w:tcPr>
          <w:p>
            <w:pPr>
              <w:widowControl/>
              <w:spacing w:line="240" w:lineRule="atLeast"/>
              <w:ind w:left="57" w:right="57"/>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资产总计</w:t>
            </w:r>
          </w:p>
          <w:p>
            <w:pPr>
              <w:widowControl/>
              <w:spacing w:line="240" w:lineRule="atLeast"/>
              <w:ind w:left="57" w:right="57"/>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（万元）</w:t>
            </w:r>
          </w:p>
        </w:tc>
        <w:tc>
          <w:tcPr>
            <w:tcW w:w="1701" w:type="dxa"/>
            <w:tcBorders>
              <w:top w:val="single" w:color="000000" w:sz="12" w:space="0"/>
              <w:left w:val="nil"/>
              <w:bottom w:val="single" w:color="000000" w:sz="8" w:space="0"/>
              <w:right w:val="single" w:color="000000" w:sz="8" w:space="0"/>
            </w:tcBorders>
            <w:vAlign w:val="center"/>
          </w:tcPr>
          <w:p>
            <w:pPr>
              <w:widowControl/>
              <w:spacing w:line="240" w:lineRule="atLeast"/>
              <w:ind w:left="57" w:right="57"/>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负债合计</w:t>
            </w:r>
          </w:p>
          <w:p>
            <w:pPr>
              <w:widowControl/>
              <w:spacing w:line="240" w:lineRule="atLeast"/>
              <w:ind w:left="57" w:right="57"/>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（万元）</w:t>
            </w:r>
          </w:p>
        </w:tc>
        <w:tc>
          <w:tcPr>
            <w:tcW w:w="1557" w:type="dxa"/>
            <w:tcBorders>
              <w:top w:val="single" w:color="000000" w:sz="12" w:space="0"/>
              <w:left w:val="nil"/>
              <w:bottom w:val="single" w:color="000000" w:sz="8" w:space="0"/>
              <w:right w:val="nil"/>
            </w:tcBorders>
            <w:vAlign w:val="center"/>
          </w:tcPr>
          <w:p>
            <w:pPr>
              <w:widowControl/>
              <w:spacing w:line="240" w:lineRule="atLeast"/>
              <w:ind w:left="57" w:right="57"/>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营业收入</w:t>
            </w:r>
          </w:p>
          <w:p>
            <w:pPr>
              <w:widowControl/>
              <w:spacing w:line="240" w:lineRule="atLeast"/>
              <w:ind w:left="57" w:right="57"/>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（万元）</w:t>
            </w:r>
          </w:p>
        </w:tc>
      </w:tr>
      <w:tr>
        <w:tblPrEx>
          <w:tblCellMar>
            <w:top w:w="0" w:type="dxa"/>
            <w:left w:w="0" w:type="dxa"/>
            <w:bottom w:w="0" w:type="dxa"/>
            <w:right w:w="0" w:type="dxa"/>
          </w:tblCellMar>
        </w:tblPrEx>
        <w:trPr>
          <w:trHeight w:val="283" w:hRule="atLeast"/>
          <w:jc w:val="center"/>
        </w:trPr>
        <w:tc>
          <w:tcPr>
            <w:tcW w:w="4111"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合　计</w:t>
            </w:r>
          </w:p>
        </w:tc>
        <w:tc>
          <w:tcPr>
            <w:tcW w:w="1701"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b/>
                <w:bCs/>
                <w:kern w:val="0"/>
                <w:szCs w:val="21"/>
              </w:rPr>
              <w:t>1325.8</w:t>
            </w:r>
            <w:r>
              <w:rPr>
                <w:rFonts w:ascii="Times New Roman" w:hAnsi="Times New Roman" w:eastAsia="宋体" w:cs="Times New Roman"/>
                <w:b/>
                <w:bCs/>
                <w:kern w:val="0"/>
                <w:szCs w:val="21"/>
              </w:rPr>
              <w:t xml:space="preserve"> </w:t>
            </w:r>
          </w:p>
        </w:tc>
        <w:tc>
          <w:tcPr>
            <w:tcW w:w="1701"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b/>
                <w:bCs/>
                <w:kern w:val="0"/>
                <w:szCs w:val="21"/>
              </w:rPr>
              <w:t>206.2</w:t>
            </w:r>
            <w:r>
              <w:rPr>
                <w:rFonts w:ascii="Times New Roman" w:hAnsi="Times New Roman" w:eastAsia="宋体" w:cs="Times New Roman"/>
                <w:b/>
                <w:bCs/>
                <w:kern w:val="0"/>
                <w:szCs w:val="21"/>
              </w:rPr>
              <w:t xml:space="preserve"> </w:t>
            </w:r>
          </w:p>
        </w:tc>
        <w:tc>
          <w:tcPr>
            <w:tcW w:w="1557"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b/>
                <w:bCs/>
                <w:kern w:val="0"/>
                <w:szCs w:val="21"/>
              </w:rPr>
              <w:t>1670.3</w:t>
            </w:r>
          </w:p>
        </w:tc>
      </w:tr>
      <w:tr>
        <w:tblPrEx>
          <w:tblCellMar>
            <w:top w:w="0" w:type="dxa"/>
            <w:left w:w="0" w:type="dxa"/>
            <w:bottom w:w="0" w:type="dxa"/>
            <w:right w:w="0" w:type="dxa"/>
          </w:tblCellMar>
        </w:tblPrEx>
        <w:trPr>
          <w:trHeight w:val="283" w:hRule="atLeast"/>
          <w:jc w:val="center"/>
        </w:trPr>
        <w:tc>
          <w:tcPr>
            <w:tcW w:w="4111"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居民服务业</w:t>
            </w:r>
          </w:p>
        </w:tc>
        <w:tc>
          <w:tcPr>
            <w:tcW w:w="1701"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637.4</w:t>
            </w:r>
            <w:r>
              <w:rPr>
                <w:rFonts w:ascii="Times New Roman" w:hAnsi="Times New Roman" w:eastAsia="宋体" w:cs="Times New Roman"/>
                <w:kern w:val="0"/>
                <w:szCs w:val="21"/>
              </w:rPr>
              <w:t xml:space="preserve"> </w:t>
            </w:r>
          </w:p>
        </w:tc>
        <w:tc>
          <w:tcPr>
            <w:tcW w:w="1701"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156.4</w:t>
            </w:r>
            <w:r>
              <w:rPr>
                <w:rFonts w:ascii="Times New Roman" w:hAnsi="Times New Roman" w:eastAsia="宋体" w:cs="Times New Roman"/>
                <w:kern w:val="0"/>
                <w:szCs w:val="21"/>
              </w:rPr>
              <w:t xml:space="preserve"> </w:t>
            </w:r>
          </w:p>
        </w:tc>
        <w:tc>
          <w:tcPr>
            <w:tcW w:w="1557"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686.2</w:t>
            </w:r>
          </w:p>
        </w:tc>
      </w:tr>
      <w:tr>
        <w:tblPrEx>
          <w:tblCellMar>
            <w:top w:w="0" w:type="dxa"/>
            <w:left w:w="0" w:type="dxa"/>
            <w:bottom w:w="0" w:type="dxa"/>
            <w:right w:w="0" w:type="dxa"/>
          </w:tblCellMar>
        </w:tblPrEx>
        <w:trPr>
          <w:trHeight w:val="283" w:hRule="atLeast"/>
          <w:jc w:val="center"/>
        </w:trPr>
        <w:tc>
          <w:tcPr>
            <w:tcW w:w="4111" w:type="dxa"/>
            <w:tcBorders>
              <w:top w:val="nil"/>
              <w:left w:val="nil"/>
              <w:bottom w:val="nil"/>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机动车、电子产品和日用产品修理业</w:t>
            </w:r>
          </w:p>
        </w:tc>
        <w:tc>
          <w:tcPr>
            <w:tcW w:w="1701"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494.6</w:t>
            </w:r>
            <w:r>
              <w:rPr>
                <w:rFonts w:ascii="Times New Roman" w:hAnsi="Times New Roman" w:eastAsia="宋体" w:cs="Times New Roman"/>
                <w:kern w:val="0"/>
                <w:szCs w:val="21"/>
              </w:rPr>
              <w:t xml:space="preserve"> </w:t>
            </w:r>
          </w:p>
        </w:tc>
        <w:tc>
          <w:tcPr>
            <w:tcW w:w="1701" w:type="dxa"/>
            <w:tcBorders>
              <w:top w:val="nil"/>
              <w:left w:val="nil"/>
              <w:bottom w:val="nil"/>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38.3</w:t>
            </w:r>
            <w:r>
              <w:rPr>
                <w:rFonts w:ascii="Times New Roman" w:hAnsi="Times New Roman" w:eastAsia="宋体" w:cs="Times New Roman"/>
                <w:kern w:val="0"/>
                <w:szCs w:val="21"/>
              </w:rPr>
              <w:t xml:space="preserve"> </w:t>
            </w:r>
          </w:p>
        </w:tc>
        <w:tc>
          <w:tcPr>
            <w:tcW w:w="1557" w:type="dxa"/>
            <w:tcBorders>
              <w:top w:val="nil"/>
              <w:left w:val="nil"/>
              <w:bottom w:val="nil"/>
              <w:right w:val="nil"/>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731.3</w:t>
            </w:r>
            <w:r>
              <w:rPr>
                <w:rFonts w:ascii="Times New Roman" w:hAnsi="Times New Roman" w:eastAsia="宋体" w:cs="Times New Roman"/>
                <w:kern w:val="0"/>
                <w:szCs w:val="21"/>
              </w:rPr>
              <w:t xml:space="preserve"> </w:t>
            </w:r>
          </w:p>
        </w:tc>
      </w:tr>
      <w:tr>
        <w:tblPrEx>
          <w:tblCellMar>
            <w:top w:w="0" w:type="dxa"/>
            <w:left w:w="0" w:type="dxa"/>
            <w:bottom w:w="0" w:type="dxa"/>
            <w:right w:w="0" w:type="dxa"/>
          </w:tblCellMar>
        </w:tblPrEx>
        <w:trPr>
          <w:trHeight w:val="283" w:hRule="atLeast"/>
          <w:jc w:val="center"/>
        </w:trPr>
        <w:tc>
          <w:tcPr>
            <w:tcW w:w="4111" w:type="dxa"/>
            <w:tcBorders>
              <w:top w:val="nil"/>
              <w:left w:val="nil"/>
              <w:bottom w:val="single" w:color="000000" w:sz="12" w:space="0"/>
              <w:right w:val="single" w:color="000000" w:sz="8" w:space="0"/>
            </w:tcBorders>
            <w:vAlign w:val="center"/>
          </w:tcPr>
          <w:p>
            <w:pPr>
              <w:widowControl/>
              <w:spacing w:line="240" w:lineRule="atLeast"/>
              <w:ind w:left="57" w:right="57"/>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其他服务业</w:t>
            </w:r>
          </w:p>
        </w:tc>
        <w:tc>
          <w:tcPr>
            <w:tcW w:w="1701" w:type="dxa"/>
            <w:tcBorders>
              <w:top w:val="nil"/>
              <w:left w:val="nil"/>
              <w:bottom w:val="single" w:color="000000" w:sz="12" w:space="0"/>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193.8</w:t>
            </w:r>
            <w:r>
              <w:rPr>
                <w:rFonts w:ascii="Times New Roman" w:hAnsi="Times New Roman" w:eastAsia="宋体" w:cs="Times New Roman"/>
                <w:kern w:val="0"/>
                <w:szCs w:val="21"/>
              </w:rPr>
              <w:t xml:space="preserve"> </w:t>
            </w:r>
          </w:p>
        </w:tc>
        <w:tc>
          <w:tcPr>
            <w:tcW w:w="1701" w:type="dxa"/>
            <w:tcBorders>
              <w:top w:val="nil"/>
              <w:left w:val="nil"/>
              <w:bottom w:val="single" w:color="000000" w:sz="12" w:space="0"/>
              <w:right w:val="single" w:color="000000" w:sz="8" w:space="0"/>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11.5</w:t>
            </w:r>
            <w:r>
              <w:rPr>
                <w:rFonts w:ascii="Times New Roman" w:hAnsi="Times New Roman" w:eastAsia="宋体" w:cs="Times New Roman"/>
                <w:kern w:val="0"/>
                <w:szCs w:val="21"/>
              </w:rPr>
              <w:t xml:space="preserve"> </w:t>
            </w:r>
          </w:p>
        </w:tc>
        <w:tc>
          <w:tcPr>
            <w:tcW w:w="1557" w:type="dxa"/>
            <w:tcBorders>
              <w:top w:val="nil"/>
              <w:left w:val="nil"/>
              <w:bottom w:val="single" w:color="000000" w:sz="12" w:space="0"/>
              <w:right w:val="nil"/>
            </w:tcBorders>
            <w:vAlign w:val="center"/>
          </w:tcPr>
          <w:p>
            <w:pPr>
              <w:widowControl/>
              <w:spacing w:line="240" w:lineRule="atLeast"/>
              <w:ind w:left="57" w:right="57"/>
              <w:jc w:val="right"/>
              <w:rPr>
                <w:rFonts w:ascii="Times New Roman" w:hAnsi="Times New Roman" w:eastAsia="宋体" w:cs="Times New Roman"/>
                <w:kern w:val="0"/>
                <w:szCs w:val="21"/>
              </w:rPr>
            </w:pPr>
            <w:r>
              <w:rPr>
                <w:rFonts w:hint="eastAsia" w:ascii="Times New Roman" w:hAnsi="Times New Roman" w:eastAsia="宋体" w:cs="Times New Roman"/>
                <w:kern w:val="0"/>
                <w:szCs w:val="21"/>
              </w:rPr>
              <w:t>252.8</w:t>
            </w:r>
            <w:r>
              <w:rPr>
                <w:rFonts w:ascii="Times New Roman" w:hAnsi="Times New Roman" w:eastAsia="宋体" w:cs="Times New Roman"/>
                <w:kern w:val="0"/>
                <w:szCs w:val="21"/>
              </w:rPr>
              <w:t xml:space="preserve"> </w:t>
            </w:r>
          </w:p>
        </w:tc>
      </w:tr>
    </w:tbl>
    <w:p>
      <w:pPr>
        <w:rPr>
          <w:rFonts w:ascii="Times New Roman" w:hAnsi="Times New Roman" w:eastAsia="仿宋_GB2312" w:cs="Times New Roman"/>
          <w:sz w:val="32"/>
          <w:szCs w:val="32"/>
        </w:rPr>
      </w:pPr>
    </w:p>
    <w:p>
      <w:pPr>
        <w:rPr>
          <w:rFonts w:ascii="Times New Roman" w:hAnsi="Times New Roman" w:eastAsia="黑体" w:cs="Times New Roman"/>
          <w:sz w:val="32"/>
          <w:szCs w:val="32"/>
        </w:rPr>
      </w:pPr>
      <w:r>
        <w:rPr>
          <w:rFonts w:ascii="Times New Roman" w:hAnsi="Times New Roman" w:eastAsia="仿宋_GB2312" w:cs="Times New Roman"/>
          <w:sz w:val="32"/>
          <w:szCs w:val="32"/>
        </w:rPr>
        <w:t>　</w:t>
      </w:r>
      <w:r>
        <w:rPr>
          <w:rFonts w:ascii="Times New Roman" w:hAnsi="Times New Roman" w:eastAsia="黑体" w:cs="Times New Roman"/>
          <w:sz w:val="32"/>
          <w:szCs w:val="32"/>
        </w:rPr>
        <w:t>　四、教育</w:t>
      </w:r>
    </w:p>
    <w:p>
      <w:pPr>
        <w:rPr>
          <w:rFonts w:ascii="Times New Roman" w:hAnsi="Times New Roman" w:eastAsia="仿宋_GB2312" w:cs="Times New Roman"/>
          <w:b/>
          <w:sz w:val="32"/>
          <w:szCs w:val="32"/>
        </w:rPr>
      </w:pPr>
      <w:r>
        <w:rPr>
          <w:rFonts w:ascii="Times New Roman" w:hAnsi="Times New Roman" w:eastAsia="仿宋_GB2312" w:cs="Times New Roman"/>
          <w:sz w:val="32"/>
          <w:szCs w:val="32"/>
        </w:rPr>
        <w:t xml:space="preserve">  </w:t>
      </w:r>
      <w:r>
        <w:rPr>
          <w:rFonts w:ascii="Times New Roman" w:hAnsi="Times New Roman" w:eastAsia="仿宋_GB2312" w:cs="Times New Roman"/>
          <w:b/>
          <w:sz w:val="32"/>
          <w:szCs w:val="32"/>
        </w:rPr>
        <w:t xml:space="preserve"> （一）法人单位数和从业人员。</w:t>
      </w:r>
    </w:p>
    <w:p>
      <w:pPr>
        <w:rPr>
          <w:rFonts w:ascii="Times New Roman" w:hAnsi="Times New Roman" w:eastAsia="仿宋_GB2312" w:cs="Times New Roman"/>
          <w:color w:val="000000" w:themeColor="text1"/>
          <w:sz w:val="32"/>
          <w:szCs w:val="32"/>
        </w:rPr>
      </w:pPr>
      <w:r>
        <w:rPr>
          <w:rFonts w:ascii="Times New Roman" w:hAnsi="Times New Roman" w:eastAsia="仿宋_GB2312" w:cs="Times New Roman"/>
          <w:sz w:val="32"/>
          <w:szCs w:val="32"/>
        </w:rPr>
        <w:t xml:space="preserve">    2018年末，全</w:t>
      </w:r>
      <w:r>
        <w:rPr>
          <w:rFonts w:hint="eastAsia" w:ascii="Times New Roman" w:hAnsi="Times New Roman" w:eastAsia="仿宋_GB2312" w:cs="Times New Roman"/>
          <w:sz w:val="32"/>
          <w:szCs w:val="32"/>
        </w:rPr>
        <w:t>县</w:t>
      </w:r>
      <w:r>
        <w:rPr>
          <w:rFonts w:ascii="Times New Roman" w:hAnsi="Times New Roman" w:eastAsia="仿宋_GB2312" w:cs="Times New Roman"/>
          <w:sz w:val="32"/>
          <w:szCs w:val="32"/>
        </w:rPr>
        <w:t>共有教育法人单位</w:t>
      </w:r>
      <w:r>
        <w:rPr>
          <w:rFonts w:hint="eastAsia" w:ascii="Times New Roman" w:hAnsi="Times New Roman" w:eastAsia="仿宋_GB2312" w:cs="Times New Roman"/>
          <w:sz w:val="32"/>
          <w:szCs w:val="32"/>
        </w:rPr>
        <w:t>150</w:t>
      </w:r>
      <w:r>
        <w:rPr>
          <w:rFonts w:ascii="Times New Roman" w:hAnsi="Times New Roman" w:eastAsia="仿宋_GB2312" w:cs="Times New Roman"/>
          <w:sz w:val="32"/>
          <w:szCs w:val="32"/>
        </w:rPr>
        <w:t>个，从业人员</w:t>
      </w:r>
      <w:r>
        <w:rPr>
          <w:rFonts w:hint="eastAsia" w:ascii="Times New Roman" w:hAnsi="Times New Roman" w:eastAsia="仿宋_GB2312" w:cs="Times New Roman"/>
          <w:sz w:val="32"/>
          <w:szCs w:val="32"/>
        </w:rPr>
        <w:t>5172</w:t>
      </w:r>
      <w:r>
        <w:rPr>
          <w:rFonts w:ascii="Times New Roman" w:hAnsi="Times New Roman" w:eastAsia="仿宋_GB2312" w:cs="Times New Roman"/>
          <w:sz w:val="32"/>
          <w:szCs w:val="32"/>
        </w:rPr>
        <w:t>人</w:t>
      </w:r>
      <w:r>
        <w:rPr>
          <w:rFonts w:ascii="Times New Roman" w:hAnsi="Times New Roman" w:eastAsia="仿宋_GB2312" w:cs="Times New Roman"/>
          <w:color w:val="000000" w:themeColor="text1"/>
          <w:sz w:val="32"/>
          <w:szCs w:val="32"/>
        </w:rPr>
        <w:t>，分别比2013年末增长</w:t>
      </w:r>
      <w:r>
        <w:rPr>
          <w:rFonts w:hint="eastAsia" w:ascii="Times New Roman" w:hAnsi="Times New Roman" w:eastAsia="仿宋_GB2312" w:cs="Times New Roman"/>
          <w:color w:val="000000" w:themeColor="text1"/>
          <w:sz w:val="32"/>
          <w:szCs w:val="32"/>
        </w:rPr>
        <w:t>74.4</w:t>
      </w:r>
      <w:r>
        <w:rPr>
          <w:rFonts w:ascii="Times New Roman" w:hAnsi="Times New Roman" w:eastAsia="仿宋_GB2312" w:cs="Times New Roman"/>
          <w:color w:val="000000" w:themeColor="text1"/>
          <w:sz w:val="32"/>
          <w:szCs w:val="32"/>
        </w:rPr>
        <w:t>%和</w:t>
      </w:r>
      <w:r>
        <w:rPr>
          <w:rFonts w:hint="eastAsia" w:ascii="Times New Roman" w:hAnsi="Times New Roman" w:eastAsia="仿宋_GB2312" w:cs="Times New Roman"/>
          <w:color w:val="000000" w:themeColor="text1"/>
          <w:sz w:val="32"/>
          <w:szCs w:val="32"/>
        </w:rPr>
        <w:t>116.2</w:t>
      </w:r>
      <w:r>
        <w:rPr>
          <w:rFonts w:ascii="Times New Roman" w:hAnsi="Times New Roman" w:eastAsia="仿宋_GB2312" w:cs="Times New Roman"/>
          <w:color w:val="000000" w:themeColor="text1"/>
          <w:sz w:val="32"/>
          <w:szCs w:val="32"/>
        </w:rPr>
        <w:t>%。其中，行政事业及非企业法人单位</w:t>
      </w:r>
      <w:r>
        <w:rPr>
          <w:rFonts w:hint="eastAsia" w:ascii="Times New Roman" w:hAnsi="Times New Roman" w:eastAsia="仿宋_GB2312" w:cs="Times New Roman"/>
          <w:color w:val="000000" w:themeColor="text1"/>
          <w:sz w:val="32"/>
          <w:szCs w:val="32"/>
        </w:rPr>
        <w:t>145</w:t>
      </w:r>
      <w:r>
        <w:rPr>
          <w:rFonts w:ascii="Times New Roman" w:hAnsi="Times New Roman" w:eastAsia="仿宋_GB2312" w:cs="Times New Roman"/>
          <w:color w:val="000000" w:themeColor="text1"/>
          <w:sz w:val="32"/>
          <w:szCs w:val="32"/>
        </w:rPr>
        <w:t>个，从业人员</w:t>
      </w:r>
      <w:r>
        <w:rPr>
          <w:rFonts w:hint="eastAsia" w:ascii="Times New Roman" w:hAnsi="Times New Roman" w:eastAsia="仿宋_GB2312" w:cs="Times New Roman"/>
          <w:color w:val="000000" w:themeColor="text1"/>
          <w:sz w:val="32"/>
          <w:szCs w:val="32"/>
        </w:rPr>
        <w:t>5070</w:t>
      </w:r>
      <w:r>
        <w:rPr>
          <w:rFonts w:ascii="Times New Roman" w:hAnsi="Times New Roman" w:eastAsia="仿宋_GB2312" w:cs="Times New Roman"/>
          <w:color w:val="000000" w:themeColor="text1"/>
          <w:sz w:val="32"/>
          <w:szCs w:val="32"/>
        </w:rPr>
        <w:t>人，分别比2013年末增长</w:t>
      </w:r>
      <w:r>
        <w:rPr>
          <w:rFonts w:hint="eastAsia" w:ascii="Times New Roman" w:hAnsi="Times New Roman" w:eastAsia="仿宋_GB2312" w:cs="Times New Roman"/>
          <w:color w:val="000000" w:themeColor="text1"/>
          <w:sz w:val="32"/>
          <w:szCs w:val="32"/>
        </w:rPr>
        <w:t>76.8</w:t>
      </w:r>
      <w:r>
        <w:rPr>
          <w:rFonts w:ascii="Times New Roman" w:hAnsi="Times New Roman" w:eastAsia="仿宋_GB2312" w:cs="Times New Roman"/>
          <w:color w:val="000000" w:themeColor="text1"/>
          <w:sz w:val="32"/>
          <w:szCs w:val="32"/>
        </w:rPr>
        <w:t>%和</w:t>
      </w:r>
      <w:r>
        <w:rPr>
          <w:rFonts w:hint="eastAsia" w:ascii="Times New Roman" w:hAnsi="Times New Roman" w:eastAsia="仿宋_GB2312" w:cs="Times New Roman"/>
          <w:color w:val="000000" w:themeColor="text1"/>
          <w:sz w:val="32"/>
          <w:szCs w:val="32"/>
        </w:rPr>
        <w:t>117.8</w:t>
      </w:r>
      <w:r>
        <w:rPr>
          <w:rFonts w:ascii="Times New Roman" w:hAnsi="Times New Roman" w:eastAsia="仿宋_GB2312" w:cs="Times New Roman"/>
          <w:color w:val="000000" w:themeColor="text1"/>
          <w:sz w:val="32"/>
          <w:szCs w:val="32"/>
        </w:rPr>
        <w:t>%。</w:t>
      </w:r>
    </w:p>
    <w:p>
      <w:pPr>
        <w:rPr>
          <w:rFonts w:ascii="Times New Roman" w:hAnsi="Times New Roman" w:eastAsia="仿宋_GB2312" w:cs="Times New Roman"/>
          <w:b/>
          <w:sz w:val="32"/>
          <w:szCs w:val="32"/>
        </w:rPr>
      </w:pPr>
      <w:r>
        <w:rPr>
          <w:rFonts w:ascii="Times New Roman" w:hAnsi="Times New Roman" w:eastAsia="仿宋_GB2312" w:cs="Times New Roman"/>
          <w:sz w:val="32"/>
          <w:szCs w:val="32"/>
        </w:rPr>
        <w:t>　　</w:t>
      </w:r>
      <w:r>
        <w:rPr>
          <w:rFonts w:ascii="Times New Roman" w:hAnsi="Times New Roman" w:eastAsia="仿宋_GB2312" w:cs="Times New Roman"/>
          <w:b/>
          <w:sz w:val="32"/>
          <w:szCs w:val="32"/>
        </w:rPr>
        <w:t>（二）主要经济指标。</w:t>
      </w:r>
    </w:p>
    <w:p>
      <w:pPr>
        <w:rPr>
          <w:rFonts w:ascii="Times New Roman" w:hAnsi="Times New Roman" w:eastAsia="仿宋_GB2312" w:cs="Times New Roman"/>
          <w:color w:val="000000" w:themeColor="text1"/>
          <w:sz w:val="32"/>
          <w:szCs w:val="32"/>
        </w:rPr>
      </w:pPr>
      <w:r>
        <w:rPr>
          <w:rFonts w:ascii="Times New Roman" w:hAnsi="Times New Roman" w:eastAsia="仿宋_GB2312" w:cs="Times New Roman"/>
          <w:sz w:val="32"/>
          <w:szCs w:val="32"/>
        </w:rPr>
        <w:t>　　</w:t>
      </w:r>
      <w:r>
        <w:rPr>
          <w:rFonts w:ascii="Times New Roman" w:hAnsi="Times New Roman" w:eastAsia="仿宋_GB2312" w:cs="Times New Roman"/>
          <w:color w:val="000000" w:themeColor="text1"/>
          <w:sz w:val="32"/>
          <w:szCs w:val="32"/>
        </w:rPr>
        <w:t>2018年末，教育企业法人单位资产总计</w:t>
      </w:r>
      <w:r>
        <w:rPr>
          <w:rFonts w:hint="eastAsia" w:ascii="Times New Roman" w:hAnsi="Times New Roman" w:eastAsia="仿宋_GB2312" w:cs="Times New Roman"/>
          <w:color w:val="000000" w:themeColor="text1"/>
          <w:sz w:val="32"/>
          <w:szCs w:val="32"/>
        </w:rPr>
        <w:t>696.4</w:t>
      </w:r>
      <w:r>
        <w:rPr>
          <w:rFonts w:ascii="Times New Roman" w:hAnsi="Times New Roman" w:eastAsia="仿宋_GB2312" w:cs="Times New Roman"/>
          <w:color w:val="000000" w:themeColor="text1"/>
          <w:sz w:val="32"/>
          <w:szCs w:val="32"/>
        </w:rPr>
        <w:t>万元，比2013年末增长</w:t>
      </w:r>
      <w:r>
        <w:rPr>
          <w:rFonts w:hint="eastAsia" w:ascii="Times New Roman" w:hAnsi="Times New Roman" w:eastAsia="仿宋_GB2312" w:cs="Times New Roman"/>
          <w:color w:val="000000" w:themeColor="text1"/>
          <w:sz w:val="32"/>
          <w:szCs w:val="32"/>
        </w:rPr>
        <w:t>110.1</w:t>
      </w:r>
      <w:r>
        <w:rPr>
          <w:rFonts w:ascii="Times New Roman" w:hAnsi="Times New Roman" w:eastAsia="仿宋_GB2312" w:cs="Times New Roman"/>
          <w:color w:val="000000" w:themeColor="text1"/>
          <w:sz w:val="32"/>
          <w:szCs w:val="32"/>
        </w:rPr>
        <w:t>%。负债合计</w:t>
      </w:r>
      <w:r>
        <w:rPr>
          <w:rFonts w:hint="eastAsia" w:ascii="Times New Roman" w:hAnsi="Times New Roman" w:eastAsia="仿宋_GB2312" w:cs="Times New Roman"/>
          <w:color w:val="000000" w:themeColor="text1"/>
          <w:sz w:val="32"/>
          <w:szCs w:val="32"/>
        </w:rPr>
        <w:t>82.7</w:t>
      </w:r>
      <w:r>
        <w:rPr>
          <w:rFonts w:ascii="Times New Roman" w:hAnsi="Times New Roman" w:eastAsia="仿宋_GB2312" w:cs="Times New Roman"/>
          <w:color w:val="000000" w:themeColor="text1"/>
          <w:sz w:val="32"/>
          <w:szCs w:val="32"/>
        </w:rPr>
        <w:t>万元。全年实现营业收入</w:t>
      </w:r>
      <w:r>
        <w:rPr>
          <w:rFonts w:hint="eastAsia" w:ascii="Times New Roman" w:hAnsi="Times New Roman" w:eastAsia="仿宋_GB2312" w:cs="Times New Roman"/>
          <w:color w:val="000000" w:themeColor="text1"/>
          <w:sz w:val="32"/>
          <w:szCs w:val="32"/>
        </w:rPr>
        <w:t>1478.7万</w:t>
      </w:r>
      <w:r>
        <w:rPr>
          <w:rFonts w:ascii="Times New Roman" w:hAnsi="Times New Roman" w:eastAsia="仿宋_GB2312" w:cs="Times New Roman"/>
          <w:color w:val="000000" w:themeColor="text1"/>
          <w:sz w:val="32"/>
          <w:szCs w:val="32"/>
        </w:rPr>
        <w:t>元。</w:t>
      </w:r>
    </w:p>
    <w:p>
      <w:pPr>
        <w:rPr>
          <w:rFonts w:ascii="Times New Roman" w:hAnsi="Times New Roman" w:eastAsia="仿宋_GB2312" w:cs="Times New Roman"/>
          <w:sz w:val="32"/>
          <w:szCs w:val="32"/>
        </w:rPr>
      </w:pPr>
      <w:r>
        <w:rPr>
          <w:rFonts w:ascii="Times New Roman" w:hAnsi="Times New Roman" w:eastAsia="仿宋_GB2312" w:cs="Times New Roman"/>
          <w:sz w:val="32"/>
          <w:szCs w:val="32"/>
        </w:rPr>
        <w:t>　　</w:t>
      </w:r>
      <w:r>
        <w:rPr>
          <w:rFonts w:ascii="Times New Roman" w:hAnsi="Times New Roman" w:eastAsia="仿宋_GB2312" w:cs="Times New Roman"/>
          <w:color w:val="000000" w:themeColor="text1"/>
          <w:sz w:val="32"/>
          <w:szCs w:val="32"/>
        </w:rPr>
        <w:t>行政事业及非企业法人单位年末资产</w:t>
      </w:r>
      <w:r>
        <w:rPr>
          <w:rFonts w:hint="eastAsia" w:ascii="Times New Roman" w:hAnsi="Times New Roman" w:eastAsia="仿宋_GB2312" w:cs="Times New Roman"/>
          <w:color w:val="000000" w:themeColor="text1"/>
          <w:sz w:val="32"/>
          <w:szCs w:val="32"/>
        </w:rPr>
        <w:t>147041.4</w:t>
      </w:r>
      <w:r>
        <w:rPr>
          <w:rFonts w:ascii="Times New Roman" w:hAnsi="Times New Roman" w:eastAsia="仿宋_GB2312" w:cs="Times New Roman"/>
          <w:color w:val="000000" w:themeColor="text1"/>
          <w:sz w:val="32"/>
          <w:szCs w:val="32"/>
        </w:rPr>
        <w:t>万元，比2013年末增长</w:t>
      </w:r>
      <w:r>
        <w:rPr>
          <w:rFonts w:hint="eastAsia" w:ascii="Times New Roman" w:hAnsi="Times New Roman" w:eastAsia="仿宋_GB2312" w:cs="Times New Roman"/>
          <w:color w:val="000000" w:themeColor="text1"/>
          <w:sz w:val="32"/>
          <w:szCs w:val="32"/>
        </w:rPr>
        <w:t>613.1</w:t>
      </w:r>
      <w:r>
        <w:rPr>
          <w:rFonts w:ascii="Times New Roman" w:hAnsi="Times New Roman" w:eastAsia="仿宋_GB2312" w:cs="Times New Roman"/>
          <w:color w:val="000000" w:themeColor="text1"/>
          <w:sz w:val="32"/>
          <w:szCs w:val="32"/>
        </w:rPr>
        <w:t>.0%。本</w:t>
      </w:r>
      <w:r>
        <w:rPr>
          <w:rFonts w:ascii="Times New Roman" w:hAnsi="Times New Roman" w:eastAsia="仿宋_GB2312" w:cs="Times New Roman"/>
          <w:sz w:val="32"/>
          <w:szCs w:val="32"/>
        </w:rPr>
        <w:t>年支出（费用）合计</w:t>
      </w:r>
      <w:r>
        <w:rPr>
          <w:rFonts w:hint="eastAsia" w:ascii="Times New Roman" w:hAnsi="Times New Roman" w:eastAsia="仿宋_GB2312" w:cs="Times New Roman"/>
          <w:sz w:val="32"/>
          <w:szCs w:val="32"/>
        </w:rPr>
        <w:t>7863.4</w:t>
      </w:r>
      <w:r>
        <w:rPr>
          <w:rFonts w:ascii="Times New Roman" w:hAnsi="Times New Roman" w:eastAsia="仿宋_GB2312" w:cs="Times New Roman"/>
          <w:sz w:val="32"/>
          <w:szCs w:val="32"/>
        </w:rPr>
        <w:t>万元。</w:t>
      </w:r>
    </w:p>
    <w:p>
      <w:pPr>
        <w:rPr>
          <w:rFonts w:ascii="Times New Roman" w:hAnsi="Times New Roman" w:eastAsia="黑体" w:cs="Times New Roman"/>
          <w:sz w:val="32"/>
          <w:szCs w:val="32"/>
        </w:rPr>
      </w:pPr>
      <w:r>
        <w:rPr>
          <w:rFonts w:ascii="Times New Roman" w:hAnsi="Times New Roman" w:eastAsia="仿宋_GB2312" w:cs="Times New Roman"/>
          <w:sz w:val="32"/>
          <w:szCs w:val="32"/>
        </w:rPr>
        <w:t xml:space="preserve">　  </w:t>
      </w:r>
      <w:r>
        <w:rPr>
          <w:rFonts w:ascii="Times New Roman" w:hAnsi="Times New Roman" w:eastAsia="黑体" w:cs="Times New Roman"/>
          <w:sz w:val="32"/>
          <w:szCs w:val="32"/>
        </w:rPr>
        <w:t>五、卫生和社会工作</w:t>
      </w:r>
    </w:p>
    <w:p>
      <w:pPr>
        <w:rPr>
          <w:rFonts w:ascii="Times New Roman" w:hAnsi="Times New Roman" w:eastAsia="仿宋_GB2312" w:cs="Times New Roman"/>
          <w:b/>
          <w:sz w:val="32"/>
          <w:szCs w:val="32"/>
        </w:rPr>
      </w:pPr>
      <w:r>
        <w:rPr>
          <w:rFonts w:ascii="Times New Roman" w:hAnsi="Times New Roman" w:eastAsia="仿宋_GB2312" w:cs="Times New Roman"/>
          <w:sz w:val="32"/>
          <w:szCs w:val="32"/>
        </w:rPr>
        <w:t>　　</w:t>
      </w:r>
      <w:r>
        <w:rPr>
          <w:rFonts w:ascii="Times New Roman" w:hAnsi="Times New Roman" w:eastAsia="仿宋_GB2312" w:cs="Times New Roman"/>
          <w:b/>
          <w:sz w:val="32"/>
          <w:szCs w:val="32"/>
        </w:rPr>
        <w:t>（一）法人单位数和从业人员。</w:t>
      </w:r>
    </w:p>
    <w:p>
      <w:pPr>
        <w:rPr>
          <w:rFonts w:ascii="Times New Roman" w:hAnsi="Times New Roman" w:eastAsia="仿宋_GB2312" w:cs="Times New Roman"/>
          <w:color w:val="000000" w:themeColor="text1"/>
          <w:sz w:val="32"/>
          <w:szCs w:val="32"/>
        </w:rPr>
      </w:pPr>
      <w:r>
        <w:rPr>
          <w:rFonts w:ascii="Times New Roman" w:hAnsi="Times New Roman" w:eastAsia="仿宋_GB2312" w:cs="Times New Roman"/>
          <w:sz w:val="32"/>
          <w:szCs w:val="32"/>
        </w:rPr>
        <w:t>　　2018年末，全</w:t>
      </w:r>
      <w:r>
        <w:rPr>
          <w:rFonts w:hint="eastAsia" w:ascii="Times New Roman" w:hAnsi="Times New Roman" w:eastAsia="仿宋_GB2312" w:cs="Times New Roman"/>
          <w:sz w:val="32"/>
          <w:szCs w:val="32"/>
        </w:rPr>
        <w:t>县</w:t>
      </w:r>
      <w:r>
        <w:rPr>
          <w:rFonts w:ascii="Times New Roman" w:hAnsi="Times New Roman" w:eastAsia="仿宋_GB2312" w:cs="Times New Roman"/>
          <w:sz w:val="32"/>
          <w:szCs w:val="32"/>
        </w:rPr>
        <w:t>共有卫生和社会工作法人单位</w:t>
      </w:r>
      <w:r>
        <w:rPr>
          <w:rFonts w:hint="eastAsia" w:ascii="Times New Roman" w:hAnsi="Times New Roman" w:eastAsia="仿宋_GB2312" w:cs="Times New Roman"/>
          <w:sz w:val="32"/>
          <w:szCs w:val="32"/>
        </w:rPr>
        <w:t>404</w:t>
      </w:r>
      <w:r>
        <w:rPr>
          <w:rFonts w:ascii="Times New Roman" w:hAnsi="Times New Roman" w:eastAsia="仿宋_GB2312" w:cs="Times New Roman"/>
          <w:sz w:val="32"/>
          <w:szCs w:val="32"/>
        </w:rPr>
        <w:t>个，从业人员</w:t>
      </w:r>
      <w:r>
        <w:rPr>
          <w:rFonts w:hint="eastAsia" w:ascii="Times New Roman" w:hAnsi="Times New Roman" w:eastAsia="仿宋_GB2312" w:cs="Times New Roman"/>
          <w:sz w:val="32"/>
          <w:szCs w:val="32"/>
        </w:rPr>
        <w:t>2183</w:t>
      </w:r>
      <w:r>
        <w:rPr>
          <w:rFonts w:ascii="Times New Roman" w:hAnsi="Times New Roman" w:eastAsia="仿宋_GB2312" w:cs="Times New Roman"/>
          <w:sz w:val="32"/>
          <w:szCs w:val="32"/>
        </w:rPr>
        <w:t>人，</w:t>
      </w:r>
      <w:r>
        <w:rPr>
          <w:rFonts w:ascii="Times New Roman" w:hAnsi="Times New Roman" w:eastAsia="仿宋_GB2312" w:cs="Times New Roman"/>
          <w:color w:val="000000" w:themeColor="text1"/>
          <w:sz w:val="32"/>
          <w:szCs w:val="32"/>
        </w:rPr>
        <w:t>分别比2013年末增长0</w:t>
      </w:r>
      <w:r>
        <w:rPr>
          <w:rFonts w:hint="eastAsia" w:ascii="Times New Roman" w:hAnsi="Times New Roman" w:eastAsia="仿宋_GB2312" w:cs="Times New Roman"/>
          <w:color w:val="000000" w:themeColor="text1"/>
          <w:sz w:val="32"/>
          <w:szCs w:val="32"/>
        </w:rPr>
        <w:t>.5</w:t>
      </w:r>
      <w:r>
        <w:rPr>
          <w:rFonts w:ascii="Times New Roman" w:hAnsi="Times New Roman" w:eastAsia="仿宋_GB2312" w:cs="Times New Roman"/>
          <w:color w:val="000000" w:themeColor="text1"/>
          <w:sz w:val="32"/>
          <w:szCs w:val="32"/>
        </w:rPr>
        <w:t>%和</w:t>
      </w:r>
      <w:r>
        <w:rPr>
          <w:rFonts w:hint="eastAsia" w:ascii="Times New Roman" w:hAnsi="Times New Roman" w:eastAsia="仿宋_GB2312" w:cs="Times New Roman"/>
          <w:color w:val="000000" w:themeColor="text1"/>
          <w:sz w:val="32"/>
          <w:szCs w:val="32"/>
        </w:rPr>
        <w:t>4.95</w:t>
      </w:r>
      <w:r>
        <w:rPr>
          <w:rFonts w:ascii="Times New Roman" w:hAnsi="Times New Roman" w:eastAsia="仿宋_GB2312" w:cs="Times New Roman"/>
          <w:color w:val="000000" w:themeColor="text1"/>
          <w:sz w:val="32"/>
          <w:szCs w:val="32"/>
        </w:rPr>
        <w:t>%。其中，行政事业及非企业法人单位</w:t>
      </w:r>
      <w:r>
        <w:rPr>
          <w:rFonts w:hint="eastAsia" w:ascii="Times New Roman" w:hAnsi="Times New Roman" w:eastAsia="仿宋_GB2312" w:cs="Times New Roman"/>
          <w:color w:val="000000" w:themeColor="text1"/>
          <w:sz w:val="32"/>
          <w:szCs w:val="32"/>
        </w:rPr>
        <w:t>400</w:t>
      </w:r>
      <w:r>
        <w:rPr>
          <w:rFonts w:ascii="Times New Roman" w:hAnsi="Times New Roman" w:eastAsia="仿宋_GB2312" w:cs="Times New Roman"/>
          <w:color w:val="000000" w:themeColor="text1"/>
          <w:sz w:val="32"/>
          <w:szCs w:val="32"/>
        </w:rPr>
        <w:t>个，比2013年末下降</w:t>
      </w:r>
      <w:r>
        <w:rPr>
          <w:rFonts w:hint="eastAsia" w:ascii="Times New Roman" w:hAnsi="Times New Roman" w:eastAsia="仿宋_GB2312" w:cs="Times New Roman"/>
          <w:color w:val="000000" w:themeColor="text1"/>
          <w:sz w:val="32"/>
          <w:szCs w:val="32"/>
        </w:rPr>
        <w:t>0.5</w:t>
      </w:r>
      <w:r>
        <w:rPr>
          <w:rFonts w:ascii="Times New Roman" w:hAnsi="Times New Roman" w:eastAsia="仿宋_GB2312" w:cs="Times New Roman"/>
          <w:color w:val="000000" w:themeColor="text1"/>
          <w:sz w:val="32"/>
          <w:szCs w:val="32"/>
        </w:rPr>
        <w:t>%，从业人员</w:t>
      </w:r>
      <w:r>
        <w:rPr>
          <w:rFonts w:hint="eastAsia" w:ascii="Times New Roman" w:hAnsi="Times New Roman" w:eastAsia="仿宋_GB2312" w:cs="Times New Roman"/>
          <w:color w:val="000000" w:themeColor="text1"/>
          <w:sz w:val="32"/>
          <w:szCs w:val="32"/>
        </w:rPr>
        <w:t>2183</w:t>
      </w:r>
      <w:r>
        <w:rPr>
          <w:rFonts w:ascii="Times New Roman" w:hAnsi="Times New Roman" w:eastAsia="仿宋_GB2312" w:cs="Times New Roman"/>
          <w:color w:val="000000" w:themeColor="text1"/>
          <w:sz w:val="32"/>
          <w:szCs w:val="32"/>
        </w:rPr>
        <w:t>人，</w:t>
      </w:r>
      <w:r>
        <w:rPr>
          <w:rFonts w:hint="eastAsia" w:ascii="Times New Roman" w:hAnsi="Times New Roman" w:eastAsia="仿宋_GB2312" w:cs="Times New Roman"/>
          <w:color w:val="000000" w:themeColor="text1"/>
          <w:sz w:val="32"/>
          <w:szCs w:val="32"/>
        </w:rPr>
        <w:t>增长4.95</w:t>
      </w:r>
      <w:r>
        <w:rPr>
          <w:rFonts w:ascii="Times New Roman" w:hAnsi="Times New Roman" w:eastAsia="仿宋_GB2312" w:cs="Times New Roman"/>
          <w:color w:val="000000" w:themeColor="text1"/>
          <w:sz w:val="32"/>
          <w:szCs w:val="32"/>
        </w:rPr>
        <w:t>%。</w:t>
      </w:r>
    </w:p>
    <w:p>
      <w:pPr>
        <w:rPr>
          <w:rFonts w:ascii="Times New Roman" w:hAnsi="Times New Roman" w:eastAsia="仿宋_GB2312" w:cs="Times New Roman"/>
          <w:b/>
          <w:sz w:val="32"/>
          <w:szCs w:val="32"/>
        </w:rPr>
      </w:pPr>
      <w:r>
        <w:rPr>
          <w:rFonts w:ascii="Times New Roman" w:hAnsi="Times New Roman" w:eastAsia="仿宋_GB2312" w:cs="Times New Roman"/>
          <w:sz w:val="32"/>
          <w:szCs w:val="32"/>
        </w:rPr>
        <w:t>　　</w:t>
      </w:r>
      <w:r>
        <w:rPr>
          <w:rFonts w:ascii="Times New Roman" w:hAnsi="Times New Roman" w:eastAsia="仿宋_GB2312" w:cs="Times New Roman"/>
          <w:b/>
          <w:sz w:val="32"/>
          <w:szCs w:val="32"/>
        </w:rPr>
        <w:t>（二）主要经济指标。</w:t>
      </w:r>
    </w:p>
    <w:p>
      <w:pPr>
        <w:rPr>
          <w:rFonts w:ascii="Times New Roman" w:hAnsi="Times New Roman" w:eastAsia="仿宋_GB2312" w:cs="Times New Roman"/>
          <w:sz w:val="32"/>
          <w:szCs w:val="32"/>
        </w:rPr>
      </w:pPr>
      <w:r>
        <w:rPr>
          <w:rFonts w:ascii="Times New Roman" w:hAnsi="Times New Roman" w:eastAsia="仿宋_GB2312" w:cs="Times New Roman"/>
          <w:sz w:val="32"/>
          <w:szCs w:val="32"/>
        </w:rPr>
        <w:t>　　2018年末，卫生和社会工作</w:t>
      </w:r>
      <w:r>
        <w:rPr>
          <w:rFonts w:hint="eastAsia" w:ascii="Times New Roman" w:hAnsi="Times New Roman" w:eastAsia="仿宋_GB2312" w:cs="Times New Roman"/>
          <w:sz w:val="32"/>
          <w:szCs w:val="32"/>
        </w:rPr>
        <w:t>行业没有</w:t>
      </w:r>
      <w:r>
        <w:rPr>
          <w:rFonts w:ascii="Times New Roman" w:hAnsi="Times New Roman" w:eastAsia="仿宋_GB2312" w:cs="Times New Roman"/>
          <w:sz w:val="32"/>
          <w:szCs w:val="32"/>
        </w:rPr>
        <w:t>企业</w:t>
      </w:r>
      <w:r>
        <w:rPr>
          <w:rFonts w:hint="eastAsia" w:ascii="Times New Roman" w:hAnsi="Times New Roman" w:eastAsia="仿宋_GB2312" w:cs="Times New Roman"/>
          <w:sz w:val="32"/>
          <w:szCs w:val="32"/>
        </w:rPr>
        <w:t>类</w:t>
      </w:r>
      <w:r>
        <w:rPr>
          <w:rFonts w:ascii="Times New Roman" w:hAnsi="Times New Roman" w:eastAsia="仿宋_GB2312" w:cs="Times New Roman"/>
          <w:sz w:val="32"/>
          <w:szCs w:val="32"/>
        </w:rPr>
        <w:t>法人单位</w:t>
      </w:r>
      <w:r>
        <w:rPr>
          <w:rFonts w:hint="eastAsia" w:ascii="Times New Roman" w:hAnsi="Times New Roman" w:eastAsia="仿宋_GB2312" w:cs="Times New Roman"/>
          <w:sz w:val="32"/>
          <w:szCs w:val="32"/>
        </w:rPr>
        <w:t>。</w:t>
      </w:r>
      <w:r>
        <w:rPr>
          <w:rFonts w:ascii="Times New Roman" w:hAnsi="Times New Roman" w:eastAsia="仿宋_GB2312" w:cs="Times New Roman"/>
          <w:color w:val="000000" w:themeColor="text1"/>
          <w:sz w:val="32"/>
          <w:szCs w:val="32"/>
        </w:rPr>
        <w:t>行政事业及非企业法人单位年末资产</w:t>
      </w:r>
      <w:r>
        <w:rPr>
          <w:rFonts w:hint="eastAsia" w:ascii="Times New Roman" w:hAnsi="Times New Roman" w:eastAsia="仿宋_GB2312" w:cs="Times New Roman"/>
          <w:color w:val="000000" w:themeColor="text1"/>
          <w:sz w:val="32"/>
          <w:szCs w:val="32"/>
        </w:rPr>
        <w:t>87389.6</w:t>
      </w:r>
      <w:r>
        <w:rPr>
          <w:rFonts w:ascii="Times New Roman" w:hAnsi="Times New Roman" w:eastAsia="仿宋_GB2312" w:cs="Times New Roman"/>
          <w:color w:val="000000" w:themeColor="text1"/>
          <w:sz w:val="32"/>
          <w:szCs w:val="32"/>
        </w:rPr>
        <w:t>万元，比2013年末增长</w:t>
      </w:r>
      <w:r>
        <w:rPr>
          <w:rFonts w:hint="eastAsia" w:ascii="Times New Roman" w:hAnsi="Times New Roman" w:eastAsia="仿宋_GB2312" w:cs="Times New Roman"/>
          <w:color w:val="000000" w:themeColor="text1"/>
          <w:sz w:val="32"/>
          <w:szCs w:val="32"/>
        </w:rPr>
        <w:t>550.8</w:t>
      </w:r>
      <w:r>
        <w:rPr>
          <w:rFonts w:ascii="Times New Roman" w:hAnsi="Times New Roman" w:eastAsia="仿宋_GB2312" w:cs="Times New Roman"/>
          <w:color w:val="000000" w:themeColor="text1"/>
          <w:sz w:val="32"/>
          <w:szCs w:val="32"/>
        </w:rPr>
        <w:t>%。本年支出（费用）合计</w:t>
      </w:r>
      <w:r>
        <w:rPr>
          <w:rFonts w:hint="eastAsia" w:ascii="Times New Roman" w:hAnsi="Times New Roman" w:eastAsia="仿宋_GB2312" w:cs="Times New Roman"/>
          <w:color w:val="000000" w:themeColor="text1"/>
          <w:sz w:val="32"/>
          <w:szCs w:val="32"/>
        </w:rPr>
        <w:t>45336.4</w:t>
      </w:r>
      <w:r>
        <w:rPr>
          <w:rFonts w:ascii="Times New Roman" w:hAnsi="Times New Roman" w:eastAsia="仿宋_GB2312" w:cs="Times New Roman"/>
          <w:color w:val="000000" w:themeColor="text1"/>
          <w:sz w:val="32"/>
          <w:szCs w:val="32"/>
        </w:rPr>
        <w:t>万元。</w:t>
      </w:r>
    </w:p>
    <w:p>
      <w:pPr>
        <w:rPr>
          <w:rFonts w:ascii="Times New Roman" w:hAnsi="Times New Roman" w:eastAsia="黑体" w:cs="Times New Roman"/>
          <w:sz w:val="32"/>
          <w:szCs w:val="32"/>
        </w:rPr>
      </w:pPr>
      <w:r>
        <w:rPr>
          <w:rFonts w:ascii="Times New Roman" w:hAnsi="Times New Roman" w:eastAsia="仿宋_GB2312" w:cs="Times New Roman"/>
          <w:sz w:val="32"/>
          <w:szCs w:val="32"/>
        </w:rPr>
        <w:t>　</w:t>
      </w:r>
      <w:r>
        <w:rPr>
          <w:rFonts w:ascii="Times New Roman" w:hAnsi="Times New Roman" w:eastAsia="黑体" w:cs="Times New Roman"/>
          <w:sz w:val="32"/>
          <w:szCs w:val="32"/>
        </w:rPr>
        <w:t>　六、文化、体育和娱乐业</w:t>
      </w:r>
    </w:p>
    <w:p>
      <w:pPr>
        <w:rPr>
          <w:rFonts w:ascii="Times New Roman" w:hAnsi="Times New Roman" w:eastAsia="仿宋_GB2312" w:cs="Times New Roman"/>
          <w:b/>
          <w:sz w:val="32"/>
          <w:szCs w:val="32"/>
        </w:rPr>
      </w:pPr>
      <w:r>
        <w:rPr>
          <w:rFonts w:ascii="Times New Roman" w:hAnsi="Times New Roman" w:eastAsia="仿宋_GB2312" w:cs="Times New Roman"/>
          <w:sz w:val="32"/>
          <w:szCs w:val="32"/>
        </w:rPr>
        <w:t>　　</w:t>
      </w:r>
      <w:r>
        <w:rPr>
          <w:rFonts w:ascii="Times New Roman" w:hAnsi="Times New Roman" w:eastAsia="仿宋_GB2312" w:cs="Times New Roman"/>
          <w:b/>
          <w:sz w:val="32"/>
          <w:szCs w:val="32"/>
        </w:rPr>
        <w:t>（一）法人单位数和从业人员。</w:t>
      </w:r>
    </w:p>
    <w:p>
      <w:pPr>
        <w:rPr>
          <w:rFonts w:ascii="Times New Roman" w:hAnsi="Times New Roman" w:eastAsia="仿宋_GB2312" w:cs="Times New Roman"/>
          <w:color w:val="000000" w:themeColor="text1"/>
          <w:sz w:val="32"/>
          <w:szCs w:val="32"/>
        </w:rPr>
      </w:pPr>
      <w:r>
        <w:rPr>
          <w:rFonts w:ascii="Times New Roman" w:hAnsi="Times New Roman" w:eastAsia="仿宋_GB2312" w:cs="Times New Roman"/>
          <w:sz w:val="32"/>
          <w:szCs w:val="32"/>
        </w:rPr>
        <w:t>　　2018年末，全</w:t>
      </w:r>
      <w:r>
        <w:rPr>
          <w:rFonts w:hint="eastAsia" w:ascii="Times New Roman" w:hAnsi="Times New Roman" w:eastAsia="仿宋_GB2312" w:cs="Times New Roman"/>
          <w:sz w:val="32"/>
          <w:szCs w:val="32"/>
        </w:rPr>
        <w:t>县</w:t>
      </w:r>
      <w:r>
        <w:rPr>
          <w:rFonts w:ascii="Times New Roman" w:hAnsi="Times New Roman" w:eastAsia="仿宋_GB2312" w:cs="Times New Roman"/>
          <w:sz w:val="32"/>
          <w:szCs w:val="32"/>
        </w:rPr>
        <w:t>共有文化、体育和娱乐业法人单位</w:t>
      </w:r>
      <w:r>
        <w:rPr>
          <w:rFonts w:hint="eastAsia" w:ascii="Times New Roman" w:hAnsi="Times New Roman" w:eastAsia="仿宋_GB2312" w:cs="Times New Roman"/>
          <w:sz w:val="32"/>
          <w:szCs w:val="32"/>
        </w:rPr>
        <w:t>97</w:t>
      </w:r>
      <w:r>
        <w:rPr>
          <w:rFonts w:ascii="Times New Roman" w:hAnsi="Times New Roman" w:eastAsia="仿宋_GB2312" w:cs="Times New Roman"/>
          <w:sz w:val="32"/>
          <w:szCs w:val="32"/>
        </w:rPr>
        <w:t>个，从业人员</w:t>
      </w:r>
      <w:r>
        <w:rPr>
          <w:rFonts w:hint="eastAsia" w:ascii="Times New Roman" w:hAnsi="Times New Roman" w:eastAsia="仿宋_GB2312" w:cs="Times New Roman"/>
          <w:sz w:val="32"/>
          <w:szCs w:val="32"/>
        </w:rPr>
        <w:t>798</w:t>
      </w:r>
      <w:r>
        <w:rPr>
          <w:rFonts w:ascii="Times New Roman" w:hAnsi="Times New Roman" w:eastAsia="仿宋_GB2312" w:cs="Times New Roman"/>
          <w:sz w:val="32"/>
          <w:szCs w:val="32"/>
        </w:rPr>
        <w:t>人</w:t>
      </w:r>
      <w:r>
        <w:rPr>
          <w:rFonts w:ascii="Times New Roman" w:hAnsi="Times New Roman" w:eastAsia="仿宋_GB2312" w:cs="Times New Roman"/>
          <w:color w:val="000000" w:themeColor="text1"/>
          <w:sz w:val="32"/>
          <w:szCs w:val="32"/>
        </w:rPr>
        <w:t>，分别比2013年末增长-</w:t>
      </w:r>
      <w:r>
        <w:rPr>
          <w:rFonts w:hint="eastAsia" w:ascii="Times New Roman" w:hAnsi="Times New Roman" w:eastAsia="仿宋_GB2312" w:cs="Times New Roman"/>
          <w:color w:val="000000" w:themeColor="text1"/>
          <w:sz w:val="32"/>
          <w:szCs w:val="32"/>
        </w:rPr>
        <w:t>14.9</w:t>
      </w:r>
      <w:r>
        <w:rPr>
          <w:rFonts w:ascii="Times New Roman" w:hAnsi="Times New Roman" w:eastAsia="仿宋_GB2312" w:cs="Times New Roman"/>
          <w:color w:val="000000" w:themeColor="text1"/>
          <w:sz w:val="32"/>
          <w:szCs w:val="32"/>
        </w:rPr>
        <w:t>%和-</w:t>
      </w:r>
      <w:r>
        <w:rPr>
          <w:rFonts w:hint="eastAsia" w:ascii="Times New Roman" w:hAnsi="Times New Roman" w:eastAsia="仿宋_GB2312" w:cs="Times New Roman"/>
          <w:color w:val="000000" w:themeColor="text1"/>
          <w:sz w:val="32"/>
          <w:szCs w:val="32"/>
        </w:rPr>
        <w:t>32.4</w:t>
      </w:r>
      <w:r>
        <w:rPr>
          <w:rFonts w:ascii="Times New Roman" w:hAnsi="Times New Roman" w:eastAsia="仿宋_GB2312" w:cs="Times New Roman"/>
          <w:color w:val="000000" w:themeColor="text1"/>
          <w:sz w:val="32"/>
          <w:szCs w:val="32"/>
        </w:rPr>
        <w:t>%。其中，企业法人单位</w:t>
      </w:r>
      <w:r>
        <w:rPr>
          <w:rFonts w:hint="eastAsia" w:ascii="Times New Roman" w:hAnsi="Times New Roman" w:eastAsia="仿宋_GB2312" w:cs="Times New Roman"/>
          <w:color w:val="000000" w:themeColor="text1"/>
          <w:sz w:val="32"/>
          <w:szCs w:val="32"/>
        </w:rPr>
        <w:t>77</w:t>
      </w:r>
      <w:r>
        <w:rPr>
          <w:rFonts w:ascii="Times New Roman" w:hAnsi="Times New Roman" w:eastAsia="仿宋_GB2312" w:cs="Times New Roman"/>
          <w:color w:val="000000" w:themeColor="text1"/>
          <w:sz w:val="32"/>
          <w:szCs w:val="32"/>
        </w:rPr>
        <w:t>个，从业人员</w:t>
      </w:r>
      <w:r>
        <w:rPr>
          <w:rFonts w:hint="eastAsia" w:ascii="Times New Roman" w:hAnsi="Times New Roman" w:eastAsia="仿宋_GB2312" w:cs="Times New Roman"/>
          <w:color w:val="000000" w:themeColor="text1"/>
          <w:sz w:val="32"/>
          <w:szCs w:val="32"/>
        </w:rPr>
        <w:t>640</w:t>
      </w:r>
      <w:r>
        <w:rPr>
          <w:rFonts w:ascii="Times New Roman" w:hAnsi="Times New Roman" w:eastAsia="仿宋_GB2312" w:cs="Times New Roman"/>
          <w:color w:val="000000" w:themeColor="text1"/>
          <w:sz w:val="32"/>
          <w:szCs w:val="32"/>
        </w:rPr>
        <w:t>人，分别比2013年末增长</w:t>
      </w:r>
      <w:r>
        <w:rPr>
          <w:rFonts w:hint="eastAsia" w:ascii="Times New Roman" w:hAnsi="Times New Roman" w:eastAsia="仿宋_GB2312" w:cs="Times New Roman"/>
          <w:color w:val="000000" w:themeColor="text1"/>
          <w:sz w:val="32"/>
          <w:szCs w:val="32"/>
        </w:rPr>
        <w:t>11.6</w:t>
      </w:r>
      <w:r>
        <w:rPr>
          <w:rFonts w:ascii="Times New Roman" w:hAnsi="Times New Roman" w:eastAsia="仿宋_GB2312" w:cs="Times New Roman"/>
          <w:color w:val="000000" w:themeColor="text1"/>
          <w:sz w:val="32"/>
          <w:szCs w:val="32"/>
        </w:rPr>
        <w:t>%和-8.3%。</w:t>
      </w:r>
    </w:p>
    <w:p>
      <w:pPr>
        <w:rPr>
          <w:rFonts w:ascii="Times New Roman" w:hAnsi="Times New Roman" w:eastAsia="仿宋_GB2312" w:cs="Times New Roman"/>
          <w:b/>
          <w:sz w:val="32"/>
          <w:szCs w:val="32"/>
        </w:rPr>
      </w:pPr>
      <w:r>
        <w:rPr>
          <w:rFonts w:ascii="Times New Roman" w:hAnsi="Times New Roman" w:eastAsia="仿宋_GB2312" w:cs="Times New Roman"/>
          <w:sz w:val="32"/>
          <w:szCs w:val="32"/>
        </w:rPr>
        <w:t>　　</w:t>
      </w:r>
      <w:r>
        <w:rPr>
          <w:rFonts w:ascii="Times New Roman" w:hAnsi="Times New Roman" w:eastAsia="仿宋_GB2312" w:cs="Times New Roman"/>
          <w:b/>
          <w:sz w:val="32"/>
          <w:szCs w:val="32"/>
        </w:rPr>
        <w:t>（二）主要经济指标。</w:t>
      </w:r>
    </w:p>
    <w:p>
      <w:pPr>
        <w:rPr>
          <w:rFonts w:ascii="Times New Roman" w:hAnsi="Times New Roman" w:eastAsia="仿宋_GB2312" w:cs="Times New Roman"/>
          <w:sz w:val="32"/>
          <w:szCs w:val="32"/>
        </w:rPr>
      </w:pPr>
      <w:r>
        <w:rPr>
          <w:rFonts w:ascii="Times New Roman" w:hAnsi="Times New Roman" w:eastAsia="仿宋_GB2312" w:cs="Times New Roman"/>
          <w:sz w:val="32"/>
          <w:szCs w:val="32"/>
        </w:rPr>
        <w:t>　　2018年末，文化、体育和娱乐业企业法人单位资产总计</w:t>
      </w:r>
      <w:r>
        <w:rPr>
          <w:rFonts w:hint="eastAsia" w:ascii="Times New Roman" w:hAnsi="Times New Roman" w:eastAsia="仿宋_GB2312" w:cs="Times New Roman"/>
          <w:sz w:val="32"/>
          <w:szCs w:val="32"/>
        </w:rPr>
        <w:t>1491.2</w:t>
      </w:r>
      <w:r>
        <w:rPr>
          <w:rFonts w:ascii="Times New Roman" w:hAnsi="Times New Roman" w:eastAsia="仿宋_GB2312" w:cs="Times New Roman"/>
          <w:color w:val="000000" w:themeColor="text1"/>
          <w:sz w:val="32"/>
          <w:szCs w:val="32"/>
        </w:rPr>
        <w:t>万元，比2013年末增长</w:t>
      </w:r>
      <w:r>
        <w:rPr>
          <w:rFonts w:hint="eastAsia" w:ascii="Times New Roman" w:hAnsi="Times New Roman" w:eastAsia="仿宋_GB2312" w:cs="Times New Roman"/>
          <w:color w:val="000000" w:themeColor="text1"/>
          <w:sz w:val="32"/>
          <w:szCs w:val="32"/>
        </w:rPr>
        <w:t>-73.9</w:t>
      </w:r>
      <w:r>
        <w:rPr>
          <w:rFonts w:ascii="Times New Roman" w:hAnsi="Times New Roman" w:eastAsia="仿宋_GB2312" w:cs="Times New Roman"/>
          <w:color w:val="000000" w:themeColor="text1"/>
          <w:sz w:val="32"/>
          <w:szCs w:val="32"/>
        </w:rPr>
        <w:t>%。负债合计</w:t>
      </w:r>
      <w:r>
        <w:rPr>
          <w:rFonts w:hint="eastAsia" w:ascii="Times New Roman" w:hAnsi="Times New Roman" w:eastAsia="仿宋_GB2312" w:cs="Times New Roman"/>
          <w:color w:val="000000" w:themeColor="text1"/>
          <w:sz w:val="32"/>
          <w:szCs w:val="32"/>
        </w:rPr>
        <w:t>14647.5</w:t>
      </w:r>
      <w:r>
        <w:rPr>
          <w:rFonts w:ascii="Times New Roman" w:hAnsi="Times New Roman" w:eastAsia="仿宋_GB2312" w:cs="Times New Roman"/>
          <w:color w:val="000000" w:themeColor="text1"/>
          <w:sz w:val="32"/>
          <w:szCs w:val="32"/>
        </w:rPr>
        <w:t>万元。全年实</w:t>
      </w:r>
      <w:r>
        <w:rPr>
          <w:rFonts w:ascii="Times New Roman" w:hAnsi="Times New Roman" w:eastAsia="仿宋_GB2312" w:cs="Times New Roman"/>
          <w:sz w:val="32"/>
          <w:szCs w:val="32"/>
        </w:rPr>
        <w:t>现营业收入</w:t>
      </w:r>
      <w:r>
        <w:rPr>
          <w:rFonts w:hint="eastAsia" w:ascii="Times New Roman" w:hAnsi="Times New Roman" w:eastAsia="仿宋_GB2312" w:cs="Times New Roman"/>
          <w:sz w:val="32"/>
          <w:szCs w:val="32"/>
        </w:rPr>
        <w:t>13079.3</w:t>
      </w:r>
      <w:r>
        <w:rPr>
          <w:rFonts w:ascii="Times New Roman" w:hAnsi="Times New Roman" w:eastAsia="仿宋_GB2312" w:cs="Times New Roman"/>
          <w:sz w:val="32"/>
          <w:szCs w:val="32"/>
        </w:rPr>
        <w:t>万元。</w:t>
      </w:r>
    </w:p>
    <w:p>
      <w:pPr>
        <w:rPr>
          <w:rFonts w:ascii="Times New Roman" w:hAnsi="Times New Roman" w:eastAsia="仿宋_GB2312" w:cs="Times New Roman"/>
          <w:sz w:val="32"/>
          <w:szCs w:val="32"/>
        </w:rPr>
      </w:pPr>
      <w:r>
        <w:rPr>
          <w:rFonts w:ascii="Times New Roman" w:hAnsi="Times New Roman" w:eastAsia="仿宋_GB2312" w:cs="Times New Roman"/>
          <w:sz w:val="32"/>
          <w:szCs w:val="32"/>
        </w:rPr>
        <w:t>　　</w:t>
      </w:r>
      <w:r>
        <w:rPr>
          <w:rFonts w:ascii="Times New Roman" w:hAnsi="Times New Roman" w:eastAsia="仿宋_GB2312" w:cs="Times New Roman"/>
          <w:color w:val="000000" w:themeColor="text1"/>
          <w:sz w:val="32"/>
          <w:szCs w:val="32"/>
        </w:rPr>
        <w:t>行政事业及非企业法人单位年末资产</w:t>
      </w:r>
      <w:r>
        <w:rPr>
          <w:rFonts w:hint="eastAsia" w:ascii="Times New Roman" w:hAnsi="Times New Roman" w:eastAsia="仿宋_GB2312" w:cs="Times New Roman"/>
          <w:color w:val="000000" w:themeColor="text1"/>
          <w:sz w:val="32"/>
          <w:szCs w:val="32"/>
        </w:rPr>
        <w:t>6222</w:t>
      </w:r>
      <w:r>
        <w:rPr>
          <w:rFonts w:ascii="Times New Roman" w:hAnsi="Times New Roman" w:eastAsia="仿宋_GB2312" w:cs="Times New Roman"/>
          <w:color w:val="000000" w:themeColor="text1"/>
          <w:sz w:val="32"/>
          <w:szCs w:val="32"/>
        </w:rPr>
        <w:t>万元，比2013年末增长</w:t>
      </w:r>
      <w:r>
        <w:rPr>
          <w:rFonts w:hint="eastAsia" w:ascii="Times New Roman" w:hAnsi="Times New Roman" w:eastAsia="仿宋_GB2312" w:cs="Times New Roman"/>
          <w:color w:val="000000" w:themeColor="text1"/>
          <w:sz w:val="32"/>
          <w:szCs w:val="32"/>
        </w:rPr>
        <w:t>89.3</w:t>
      </w:r>
      <w:r>
        <w:rPr>
          <w:rFonts w:ascii="Times New Roman" w:hAnsi="Times New Roman" w:eastAsia="仿宋_GB2312" w:cs="Times New Roman"/>
          <w:color w:val="000000" w:themeColor="text1"/>
          <w:sz w:val="32"/>
          <w:szCs w:val="32"/>
        </w:rPr>
        <w:t>%。</w:t>
      </w:r>
      <w:r>
        <w:rPr>
          <w:rFonts w:ascii="Times New Roman" w:hAnsi="Times New Roman" w:eastAsia="仿宋_GB2312" w:cs="Times New Roman"/>
          <w:sz w:val="32"/>
          <w:szCs w:val="32"/>
        </w:rPr>
        <w:t>本年支出（费用）合计</w:t>
      </w:r>
      <w:r>
        <w:rPr>
          <w:rFonts w:hint="eastAsia" w:ascii="Times New Roman" w:hAnsi="Times New Roman" w:eastAsia="仿宋_GB2312" w:cs="Times New Roman"/>
          <w:sz w:val="32"/>
          <w:szCs w:val="32"/>
        </w:rPr>
        <w:t>3137.2</w:t>
      </w:r>
      <w:r>
        <w:rPr>
          <w:rFonts w:ascii="Times New Roman" w:hAnsi="Times New Roman" w:eastAsia="仿宋_GB2312" w:cs="Times New Roman"/>
          <w:sz w:val="32"/>
          <w:szCs w:val="32"/>
        </w:rPr>
        <w:t>万元。</w:t>
      </w:r>
    </w:p>
    <w:p>
      <w:pPr>
        <w:ind w:firstLine="645"/>
        <w:rPr>
          <w:rFonts w:ascii="Times New Roman" w:hAnsi="Times New Roman" w:eastAsia="黑体" w:cs="Times New Roman"/>
          <w:sz w:val="32"/>
          <w:szCs w:val="32"/>
        </w:rPr>
      </w:pPr>
      <w:r>
        <w:rPr>
          <w:rFonts w:ascii="Times New Roman" w:hAnsi="Times New Roman" w:eastAsia="黑体" w:cs="Times New Roman"/>
          <w:sz w:val="32"/>
          <w:szCs w:val="32"/>
        </w:rPr>
        <w:t>七、公共管理、社会保障和社会组织</w:t>
      </w:r>
    </w:p>
    <w:p>
      <w:pPr>
        <w:ind w:firstLine="645"/>
        <w:rPr>
          <w:rFonts w:ascii="Times New Roman" w:hAnsi="Times New Roman" w:eastAsia="仿宋_GB2312" w:cs="Times New Roman"/>
          <w:sz w:val="32"/>
          <w:szCs w:val="32"/>
        </w:rPr>
      </w:pPr>
      <w:r>
        <w:rPr>
          <w:rFonts w:ascii="Times New Roman" w:hAnsi="Times New Roman" w:eastAsia="仿宋_GB2312" w:cs="Times New Roman"/>
          <w:sz w:val="32"/>
          <w:szCs w:val="32"/>
        </w:rPr>
        <w:t>2018年末，全</w:t>
      </w:r>
      <w:r>
        <w:rPr>
          <w:rFonts w:hint="eastAsia" w:ascii="Times New Roman" w:hAnsi="Times New Roman" w:eastAsia="仿宋_GB2312" w:cs="Times New Roman"/>
          <w:sz w:val="32"/>
          <w:szCs w:val="32"/>
        </w:rPr>
        <w:t>县</w:t>
      </w:r>
      <w:r>
        <w:rPr>
          <w:rFonts w:ascii="Times New Roman" w:hAnsi="Times New Roman" w:eastAsia="仿宋_GB2312" w:cs="Times New Roman"/>
          <w:sz w:val="32"/>
          <w:szCs w:val="32"/>
        </w:rPr>
        <w:t>共有公共管理、社会保障和社会组织法人单</w:t>
      </w:r>
      <w:r>
        <w:rPr>
          <w:rFonts w:ascii="Times New Roman" w:hAnsi="Times New Roman" w:eastAsia="仿宋_GB2312" w:cs="Times New Roman"/>
          <w:color w:val="000000" w:themeColor="text1"/>
          <w:sz w:val="32"/>
          <w:szCs w:val="32"/>
        </w:rPr>
        <w:t>位</w:t>
      </w:r>
      <w:r>
        <w:rPr>
          <w:rFonts w:hint="eastAsia" w:ascii="Times New Roman" w:hAnsi="Times New Roman" w:eastAsia="仿宋_GB2312" w:cs="Times New Roman"/>
          <w:color w:val="000000" w:themeColor="text1"/>
          <w:sz w:val="32"/>
          <w:szCs w:val="32"/>
        </w:rPr>
        <w:t>697</w:t>
      </w:r>
      <w:r>
        <w:rPr>
          <w:rFonts w:ascii="Times New Roman" w:hAnsi="Times New Roman" w:eastAsia="仿宋_GB2312" w:cs="Times New Roman"/>
          <w:color w:val="000000" w:themeColor="text1"/>
          <w:sz w:val="32"/>
          <w:szCs w:val="32"/>
        </w:rPr>
        <w:t>个，比2013年末下降</w:t>
      </w:r>
      <w:r>
        <w:rPr>
          <w:rFonts w:hint="eastAsia" w:ascii="Times New Roman" w:hAnsi="Times New Roman" w:eastAsia="仿宋_GB2312" w:cs="Times New Roman"/>
          <w:color w:val="000000" w:themeColor="text1"/>
          <w:sz w:val="32"/>
          <w:szCs w:val="32"/>
        </w:rPr>
        <w:t>7.7</w:t>
      </w:r>
      <w:r>
        <w:rPr>
          <w:rFonts w:ascii="Times New Roman" w:hAnsi="Times New Roman" w:eastAsia="仿宋_GB2312" w:cs="Times New Roman"/>
          <w:color w:val="000000" w:themeColor="text1"/>
          <w:sz w:val="32"/>
          <w:szCs w:val="32"/>
        </w:rPr>
        <w:t>%，从业人员</w:t>
      </w:r>
      <w:r>
        <w:rPr>
          <w:rFonts w:hint="eastAsia" w:ascii="Times New Roman" w:hAnsi="Times New Roman" w:eastAsia="仿宋_GB2312" w:cs="Times New Roman"/>
          <w:color w:val="000000" w:themeColor="text1"/>
          <w:sz w:val="32"/>
          <w:szCs w:val="32"/>
        </w:rPr>
        <w:t>7728</w:t>
      </w:r>
      <w:r>
        <w:rPr>
          <w:rFonts w:ascii="Times New Roman" w:hAnsi="Times New Roman" w:eastAsia="仿宋_GB2312" w:cs="Times New Roman"/>
          <w:color w:val="000000" w:themeColor="text1"/>
          <w:sz w:val="32"/>
          <w:szCs w:val="32"/>
        </w:rPr>
        <w:t>人，下降</w:t>
      </w:r>
      <w:r>
        <w:rPr>
          <w:rFonts w:hint="eastAsia" w:ascii="Times New Roman" w:hAnsi="Times New Roman" w:eastAsia="仿宋_GB2312" w:cs="Times New Roman"/>
          <w:color w:val="000000" w:themeColor="text1"/>
          <w:sz w:val="32"/>
          <w:szCs w:val="32"/>
        </w:rPr>
        <w:t>41.3</w:t>
      </w:r>
      <w:r>
        <w:rPr>
          <w:rFonts w:ascii="Times New Roman" w:hAnsi="Times New Roman" w:eastAsia="仿宋_GB2312" w:cs="Times New Roman"/>
          <w:color w:val="000000" w:themeColor="text1"/>
          <w:sz w:val="32"/>
          <w:szCs w:val="32"/>
        </w:rPr>
        <w:t>%。</w:t>
      </w:r>
      <w:r>
        <w:rPr>
          <w:rFonts w:ascii="Times New Roman" w:hAnsi="Times New Roman" w:eastAsia="仿宋_GB2312" w:cs="Times New Roman"/>
          <w:sz w:val="32"/>
          <w:szCs w:val="32"/>
        </w:rPr>
        <w:t>行政事业及非企业法人单位的本年支出（费用）合计</w:t>
      </w:r>
      <w:r>
        <w:rPr>
          <w:rFonts w:hint="eastAsia" w:ascii="Times New Roman" w:hAnsi="Times New Roman" w:eastAsia="仿宋_GB2312" w:cs="Times New Roman"/>
          <w:sz w:val="32"/>
          <w:szCs w:val="32"/>
        </w:rPr>
        <w:t>245887.7</w:t>
      </w:r>
      <w:r>
        <w:rPr>
          <w:rFonts w:ascii="Times New Roman" w:hAnsi="Times New Roman" w:eastAsia="仿宋_GB2312" w:cs="Times New Roman"/>
          <w:sz w:val="32"/>
          <w:szCs w:val="32"/>
        </w:rPr>
        <w:t>万元。</w:t>
      </w:r>
    </w:p>
    <w:p>
      <w:pPr>
        <w:rPr>
          <w:rFonts w:ascii="Times New Roman" w:hAnsi="Times New Roman" w:cs="Times New Roman"/>
        </w:rPr>
      </w:pPr>
      <w:r>
        <w:rPr>
          <w:rFonts w:ascii="Times New Roman" w:hAnsi="Times New Roman" w:cs="Times New Roman"/>
        </w:rPr>
        <w:t xml:space="preserve"> </w:t>
      </w:r>
    </w:p>
    <w:p>
      <w:pPr>
        <w:rPr>
          <w:rFonts w:ascii="Times New Roman" w:hAnsi="Times New Roman" w:eastAsia="黑体" w:cs="Times New Roman"/>
          <w:sz w:val="28"/>
          <w:szCs w:val="28"/>
        </w:rPr>
      </w:pPr>
      <w:r>
        <w:rPr>
          <w:rFonts w:ascii="Times New Roman" w:hAnsi="Times New Roman" w:eastAsia="黑体" w:cs="Times New Roman"/>
          <w:sz w:val="28"/>
          <w:szCs w:val="28"/>
        </w:rPr>
        <w:t>　　注释：</w:t>
      </w:r>
    </w:p>
    <w:p>
      <w:pPr>
        <w:rPr>
          <w:rFonts w:ascii="Times New Roman" w:hAnsi="Times New Roman" w:eastAsia="仿宋" w:cs="Times New Roman"/>
          <w:sz w:val="28"/>
          <w:szCs w:val="28"/>
        </w:rPr>
      </w:pPr>
      <w:r>
        <w:rPr>
          <w:rFonts w:ascii="Times New Roman" w:hAnsi="Times New Roman" w:cs="Times New Roman"/>
        </w:rPr>
        <w:t xml:space="preserve">　　  </w:t>
      </w:r>
      <w:r>
        <w:rPr>
          <w:rFonts w:ascii="Times New Roman" w:hAnsi="Times New Roman" w:eastAsia="仿宋" w:cs="Times New Roman"/>
          <w:sz w:val="28"/>
          <w:szCs w:val="28"/>
        </w:rPr>
        <w:t>[1]本公报中的企业法人单位，包括机构类型为企业的法人单位，以及执行企业会计制度的事业法人单位、民办非企业法人单位和基金会，农民专业合作社，农村集体经济组织和除宗教活动场所以外的机构类型为其他组织机构的法人单位。</w:t>
      </w:r>
    </w:p>
    <w:p>
      <w:pPr>
        <w:rPr>
          <w:rFonts w:ascii="Times New Roman" w:hAnsi="Times New Roman" w:eastAsia="仿宋" w:cs="Times New Roman"/>
          <w:sz w:val="28"/>
          <w:szCs w:val="28"/>
        </w:rPr>
      </w:pPr>
      <w:r>
        <w:rPr>
          <w:rFonts w:ascii="Times New Roman" w:hAnsi="Times New Roman" w:eastAsia="仿宋" w:cs="Times New Roman"/>
          <w:sz w:val="28"/>
          <w:szCs w:val="28"/>
        </w:rPr>
        <w:t>　　[2]本公报中的行政事业及非企业法人单位，不包括执行企业会计制度的事业法人单位、民办非企业法人单位和基金会，农民专业合作社，农村集体经济组织和除宗教活动场所以外的机构类型为其他组织机构的法人单位。</w:t>
      </w:r>
    </w:p>
    <w:p>
      <w:pPr>
        <w:rPr>
          <w:rFonts w:ascii="Times New Roman" w:hAnsi="Times New Roman" w:eastAsia="仿宋" w:cs="Times New Roman"/>
          <w:sz w:val="28"/>
          <w:szCs w:val="28"/>
        </w:rPr>
      </w:pPr>
      <w:r>
        <w:rPr>
          <w:rFonts w:ascii="Times New Roman" w:hAnsi="Times New Roman" w:eastAsia="仿宋" w:cs="Times New Roman"/>
          <w:sz w:val="28"/>
          <w:szCs w:val="28"/>
        </w:rPr>
        <w:t>　　[3]表中的合计数和部分计算数据因小数取舍而产生的误差，均未作机械调整。</w:t>
      </w:r>
    </w:p>
    <w:p>
      <w:pPr>
        <w:rPr>
          <w:rFonts w:ascii="Times New Roman" w:hAnsi="Times New Roman" w:eastAsia="仿宋" w:cs="Times New Roman"/>
          <w:sz w:val="28"/>
          <w:szCs w:val="28"/>
        </w:rPr>
      </w:pP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C121F"/>
    <w:rsid w:val="0006420A"/>
    <w:rsid w:val="000B0659"/>
    <w:rsid w:val="000E6ABB"/>
    <w:rsid w:val="00155FD8"/>
    <w:rsid w:val="001A3439"/>
    <w:rsid w:val="001E2BD5"/>
    <w:rsid w:val="001E43BB"/>
    <w:rsid w:val="002613A2"/>
    <w:rsid w:val="00270E32"/>
    <w:rsid w:val="00291F10"/>
    <w:rsid w:val="002C121F"/>
    <w:rsid w:val="003077BC"/>
    <w:rsid w:val="00351350"/>
    <w:rsid w:val="003E226C"/>
    <w:rsid w:val="00410DA3"/>
    <w:rsid w:val="00427B45"/>
    <w:rsid w:val="00470E01"/>
    <w:rsid w:val="004E7072"/>
    <w:rsid w:val="00523FBB"/>
    <w:rsid w:val="0055645A"/>
    <w:rsid w:val="0058311A"/>
    <w:rsid w:val="00591126"/>
    <w:rsid w:val="005F46A9"/>
    <w:rsid w:val="00676027"/>
    <w:rsid w:val="0069357F"/>
    <w:rsid w:val="006D5DCB"/>
    <w:rsid w:val="00784A69"/>
    <w:rsid w:val="007A3415"/>
    <w:rsid w:val="00800194"/>
    <w:rsid w:val="00895C4B"/>
    <w:rsid w:val="008E6D63"/>
    <w:rsid w:val="00902E6A"/>
    <w:rsid w:val="0099347E"/>
    <w:rsid w:val="009D7E84"/>
    <w:rsid w:val="00A11BC9"/>
    <w:rsid w:val="00AC51A9"/>
    <w:rsid w:val="00AD3DBB"/>
    <w:rsid w:val="00B0507F"/>
    <w:rsid w:val="00B23FC6"/>
    <w:rsid w:val="00B56676"/>
    <w:rsid w:val="00C84FEE"/>
    <w:rsid w:val="00CB688F"/>
    <w:rsid w:val="00CC5536"/>
    <w:rsid w:val="00D0285F"/>
    <w:rsid w:val="00D072CC"/>
    <w:rsid w:val="00D40EF0"/>
    <w:rsid w:val="00DD5BC3"/>
    <w:rsid w:val="00E2774A"/>
    <w:rsid w:val="00E6444D"/>
    <w:rsid w:val="00F37057"/>
    <w:rsid w:val="00FD1CBA"/>
    <w:rsid w:val="00FE0C1B"/>
    <w:rsid w:val="00FE1C48"/>
    <w:rsid w:val="241006E2"/>
    <w:rsid w:val="24222241"/>
    <w:rsid w:val="244C0C4C"/>
    <w:rsid w:val="2AAB550B"/>
    <w:rsid w:val="2CA46F0F"/>
    <w:rsid w:val="391B6E56"/>
    <w:rsid w:val="3DE16601"/>
    <w:rsid w:val="51F75FCA"/>
    <w:rsid w:val="54574B7A"/>
    <w:rsid w:val="64CC7F69"/>
    <w:rsid w:val="6D2D1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7"/>
    <w:semiHidden/>
    <w:unhideWhenUsed/>
    <w:qFormat/>
    <w:uiPriority w:val="99"/>
    <w:pPr>
      <w:ind w:left="100" w:leftChars="250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日期 Char"/>
    <w:basedOn w:val="6"/>
    <w:link w:val="2"/>
    <w:semiHidden/>
    <w:uiPriority w:val="99"/>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国家统计局</Company>
  <Pages>7</Pages>
  <Words>532</Words>
  <Characters>3038</Characters>
  <Lines>25</Lines>
  <Paragraphs>7</Paragraphs>
  <TotalTime>92</TotalTime>
  <ScaleCrop>false</ScaleCrop>
  <LinksUpToDate>false</LinksUpToDate>
  <CharactersWithSpaces>3563</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2020-05-22T05:20:00Z</dcterms:created>
  <dc:creator>Windows 用户</dc:creator>
  <cp:lastModifiedBy>Administrator</cp:lastModifiedBy>
  <dcterms:modified xsi:type="dcterms:W3CDTF">2021-09-23T02:57:05Z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AEE4DBCC32274B7BBCB14AA3008B8258</vt:lpwstr>
  </property>
</Properties>
</file>