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简体"/>
          <w:bCs/>
          <w:kern w:val="0"/>
          <w:sz w:val="44"/>
          <w:szCs w:val="44"/>
        </w:rPr>
      </w:pPr>
      <w:r>
        <w:rPr>
          <w:rFonts w:hint="eastAsia" w:eastAsia="方正小标宋简体"/>
          <w:bCs/>
          <w:kern w:val="0"/>
          <w:sz w:val="44"/>
          <w:szCs w:val="44"/>
        </w:rPr>
        <w:t>凤凰县</w:t>
      </w:r>
      <w:r>
        <w:rPr>
          <w:rFonts w:eastAsia="方正小标宋简体"/>
          <w:bCs/>
          <w:kern w:val="0"/>
          <w:sz w:val="44"/>
          <w:szCs w:val="44"/>
        </w:rPr>
        <w:t>第四次全国经济普查公报（第四号）</w:t>
      </w:r>
    </w:p>
    <w:p>
      <w:pPr>
        <w:widowControl/>
        <w:spacing w:line="600" w:lineRule="exact"/>
        <w:jc w:val="center"/>
        <w:rPr>
          <w:rFonts w:eastAsia="楷体_GB2312"/>
          <w:bCs/>
          <w:kern w:val="0"/>
          <w:sz w:val="32"/>
          <w:szCs w:val="32"/>
        </w:rPr>
      </w:pPr>
      <w:r>
        <w:rPr>
          <w:rFonts w:eastAsia="楷体"/>
          <w:bCs/>
          <w:kern w:val="0"/>
          <w:sz w:val="32"/>
          <w:szCs w:val="32"/>
        </w:rPr>
        <w:t>——</w:t>
      </w:r>
      <w:r>
        <w:rPr>
          <w:rFonts w:eastAsia="楷体_GB2312"/>
          <w:bCs/>
          <w:kern w:val="0"/>
          <w:sz w:val="32"/>
          <w:szCs w:val="32"/>
        </w:rPr>
        <w:t>第三产业基本情况之一</w:t>
      </w:r>
    </w:p>
    <w:p>
      <w:pPr>
        <w:widowControl/>
        <w:spacing w:line="600" w:lineRule="exact"/>
        <w:jc w:val="center"/>
        <w:rPr>
          <w:rFonts w:eastAsia="楷体_GB2312"/>
          <w:kern w:val="0"/>
          <w:sz w:val="32"/>
          <w:szCs w:val="32"/>
        </w:rPr>
      </w:pPr>
      <w:r>
        <w:rPr>
          <w:rFonts w:hint="eastAsia" w:eastAsia="楷体_GB2312"/>
          <w:kern w:val="0"/>
          <w:sz w:val="32"/>
          <w:szCs w:val="32"/>
        </w:rPr>
        <w:t>凤凰县</w:t>
      </w:r>
      <w:r>
        <w:rPr>
          <w:rFonts w:eastAsia="楷体_GB2312"/>
          <w:kern w:val="0"/>
          <w:sz w:val="32"/>
          <w:szCs w:val="32"/>
        </w:rPr>
        <w:t>统计局</w:t>
      </w:r>
    </w:p>
    <w:p>
      <w:pPr>
        <w:widowControl/>
        <w:spacing w:line="600" w:lineRule="exact"/>
        <w:jc w:val="center"/>
        <w:rPr>
          <w:rFonts w:eastAsia="楷体_GB2312"/>
          <w:kern w:val="0"/>
          <w:sz w:val="32"/>
          <w:szCs w:val="32"/>
        </w:rPr>
      </w:pPr>
      <w:r>
        <w:rPr>
          <w:rFonts w:hint="eastAsia" w:eastAsia="楷体_GB2312"/>
          <w:kern w:val="0"/>
          <w:sz w:val="32"/>
          <w:szCs w:val="32"/>
        </w:rPr>
        <w:t>凤凰县</w:t>
      </w:r>
      <w:r>
        <w:rPr>
          <w:rFonts w:eastAsia="楷体_GB2312"/>
          <w:kern w:val="0"/>
          <w:sz w:val="32"/>
          <w:szCs w:val="32"/>
        </w:rPr>
        <w:t>第四次全国经济普查领导小组办公室</w:t>
      </w:r>
    </w:p>
    <w:p>
      <w:pPr>
        <w:widowControl/>
        <w:spacing w:line="600" w:lineRule="exact"/>
        <w:jc w:val="center"/>
        <w:rPr>
          <w:rFonts w:hint="eastAsia" w:eastAsia="楷体_GB2312"/>
          <w:kern w:val="0"/>
          <w:sz w:val="32"/>
          <w:szCs w:val="32"/>
          <w:lang w:eastAsia="zh-CN"/>
        </w:rPr>
      </w:pPr>
      <w:r>
        <w:rPr>
          <w:rFonts w:hint="eastAsia" w:eastAsia="楷体_GB2312"/>
          <w:kern w:val="0"/>
          <w:sz w:val="32"/>
          <w:szCs w:val="32"/>
          <w:lang w:eastAsia="zh-CN"/>
        </w:rPr>
        <w:t>（</w:t>
      </w:r>
      <w:r>
        <w:rPr>
          <w:rFonts w:eastAsia="楷体_GB2312"/>
          <w:kern w:val="0"/>
          <w:sz w:val="32"/>
          <w:szCs w:val="32"/>
        </w:rPr>
        <w:t>2020年3月31日</w:t>
      </w:r>
      <w:r>
        <w:rPr>
          <w:rFonts w:hint="eastAsia" w:eastAsia="楷体_GB2312"/>
          <w:kern w:val="0"/>
          <w:sz w:val="32"/>
          <w:szCs w:val="32"/>
          <w:lang w:eastAsia="zh-CN"/>
        </w:rPr>
        <w:t>）</w:t>
      </w:r>
    </w:p>
    <w:p>
      <w:pPr>
        <w:widowControl/>
        <w:spacing w:line="600" w:lineRule="exact"/>
        <w:jc w:val="left"/>
        <w:rPr>
          <w:rFonts w:eastAsia="仿宋_GB2312"/>
          <w:kern w:val="0"/>
          <w:sz w:val="32"/>
          <w:szCs w:val="32"/>
        </w:rPr>
      </w:pPr>
      <w:r>
        <w:rPr>
          <w:kern w:val="0"/>
          <w:sz w:val="24"/>
        </w:rPr>
        <w:t> </w:t>
      </w:r>
      <w:r>
        <w:rPr>
          <w:rFonts w:hint="eastAsia"/>
          <w:kern w:val="0"/>
          <w:sz w:val="24"/>
          <w:lang w:val="en-US" w:eastAsia="zh-CN"/>
        </w:rPr>
        <w:t xml:space="preserve">     </w:t>
      </w:r>
      <w:r>
        <w:rPr>
          <w:rFonts w:eastAsia="仿宋_GB2312"/>
          <w:kern w:val="0"/>
          <w:sz w:val="32"/>
          <w:szCs w:val="32"/>
        </w:rPr>
        <w:t>根据</w:t>
      </w:r>
      <w:r>
        <w:rPr>
          <w:rFonts w:hint="eastAsia" w:eastAsia="仿宋_GB2312"/>
          <w:kern w:val="0"/>
          <w:sz w:val="32"/>
          <w:szCs w:val="32"/>
        </w:rPr>
        <w:t>凤凰县</w:t>
      </w:r>
      <w:r>
        <w:rPr>
          <w:rFonts w:eastAsia="仿宋_GB2312"/>
          <w:kern w:val="0"/>
          <w:sz w:val="32"/>
          <w:szCs w:val="32"/>
        </w:rPr>
        <w:t>第四次全国经济普查</w:t>
      </w:r>
      <w:bookmarkStart w:id="0" w:name="_GoBack"/>
      <w:bookmarkEnd w:id="0"/>
      <w:r>
        <w:rPr>
          <w:rFonts w:eastAsia="仿宋_GB2312"/>
          <w:kern w:val="0"/>
          <w:sz w:val="32"/>
          <w:szCs w:val="32"/>
        </w:rPr>
        <w:t>结果，现将我</w:t>
      </w:r>
      <w:r>
        <w:rPr>
          <w:rFonts w:hint="eastAsia" w:eastAsia="仿宋_GB2312"/>
          <w:kern w:val="0"/>
          <w:sz w:val="32"/>
          <w:szCs w:val="32"/>
        </w:rPr>
        <w:t>县</w:t>
      </w:r>
      <w:r>
        <w:rPr>
          <w:rFonts w:eastAsia="仿宋_GB2312"/>
          <w:kern w:val="0"/>
          <w:sz w:val="32"/>
          <w:szCs w:val="32"/>
        </w:rPr>
        <w:t>第三产业中批发和零售业，交通运输、仓储和邮政业，住宿和餐饮业，信息传输、软件和信息技术服务业，金融业，房地产业，租赁和商务服务业的主要数据公布如下：</w:t>
      </w:r>
    </w:p>
    <w:p>
      <w:pPr>
        <w:widowControl/>
        <w:spacing w:line="600" w:lineRule="exact"/>
        <w:ind w:firstLine="640" w:firstLineChars="200"/>
        <w:jc w:val="left"/>
        <w:rPr>
          <w:rFonts w:eastAsia="黑体"/>
          <w:kern w:val="0"/>
          <w:sz w:val="32"/>
          <w:szCs w:val="32"/>
        </w:rPr>
      </w:pPr>
      <w:r>
        <w:rPr>
          <w:rFonts w:eastAsia="黑体"/>
          <w:kern w:val="0"/>
          <w:sz w:val="32"/>
          <w:szCs w:val="32"/>
        </w:rPr>
        <w:t>一、批发和零售业</w:t>
      </w:r>
    </w:p>
    <w:p>
      <w:pPr>
        <w:widowControl/>
        <w:spacing w:line="580" w:lineRule="exact"/>
        <w:ind w:firstLine="643" w:firstLineChars="200"/>
        <w:rPr>
          <w:rFonts w:eastAsia="楷体_GB2312"/>
          <w:b/>
          <w:kern w:val="0"/>
          <w:sz w:val="32"/>
          <w:szCs w:val="32"/>
        </w:rPr>
      </w:pPr>
      <w:r>
        <w:rPr>
          <w:rFonts w:eastAsia="楷体_GB2312"/>
          <w:b/>
          <w:kern w:val="0"/>
          <w:sz w:val="32"/>
          <w:szCs w:val="32"/>
        </w:rPr>
        <w:t>（一）企业法人单位数和从业人员。</w:t>
      </w:r>
    </w:p>
    <w:p>
      <w:pPr>
        <w:widowControl/>
        <w:spacing w:line="580" w:lineRule="exact"/>
        <w:ind w:firstLine="640" w:firstLineChars="200"/>
        <w:rPr>
          <w:rFonts w:eastAsia="仿宋_GB2312"/>
          <w:color w:val="000000" w:themeColor="text1"/>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共有批发和零售业企业法人单位</w:t>
      </w:r>
      <w:r>
        <w:rPr>
          <w:rFonts w:hint="eastAsia" w:eastAsia="仿宋_GB2312"/>
          <w:kern w:val="0"/>
          <w:sz w:val="32"/>
          <w:szCs w:val="32"/>
        </w:rPr>
        <w:t>292</w:t>
      </w:r>
      <w:r>
        <w:rPr>
          <w:rFonts w:eastAsia="仿宋_GB2312"/>
          <w:kern w:val="0"/>
          <w:sz w:val="32"/>
          <w:szCs w:val="32"/>
        </w:rPr>
        <w:t>个，</w:t>
      </w:r>
      <w:r>
        <w:rPr>
          <w:rFonts w:eastAsia="仿宋_GB2312"/>
          <w:color w:val="000000" w:themeColor="text1"/>
          <w:kern w:val="0"/>
          <w:sz w:val="32"/>
          <w:szCs w:val="32"/>
        </w:rPr>
        <w:t>比2013年末增长</w:t>
      </w:r>
      <w:r>
        <w:rPr>
          <w:rFonts w:hint="eastAsia" w:eastAsia="仿宋_GB2312"/>
          <w:color w:val="000000" w:themeColor="text1"/>
          <w:kern w:val="0"/>
          <w:sz w:val="32"/>
          <w:szCs w:val="32"/>
        </w:rPr>
        <w:t>194.9</w:t>
      </w:r>
      <w:r>
        <w:rPr>
          <w:rFonts w:eastAsia="仿宋_GB2312"/>
          <w:color w:val="000000" w:themeColor="text1"/>
          <w:kern w:val="0"/>
          <w:sz w:val="32"/>
          <w:szCs w:val="32"/>
        </w:rPr>
        <w:t>%</w:t>
      </w:r>
      <w:r>
        <w:rPr>
          <w:rFonts w:hint="eastAsia" w:eastAsia="仿宋_GB2312"/>
          <w:color w:val="000000" w:themeColor="text1"/>
          <w:kern w:val="0"/>
          <w:sz w:val="32"/>
          <w:szCs w:val="32"/>
        </w:rPr>
        <w:t>。</w:t>
      </w:r>
      <w:r>
        <w:rPr>
          <w:rFonts w:eastAsia="仿宋_GB2312"/>
          <w:color w:val="000000" w:themeColor="text1"/>
          <w:kern w:val="0"/>
          <w:sz w:val="32"/>
          <w:szCs w:val="32"/>
        </w:rPr>
        <w:t>从业人员</w:t>
      </w:r>
      <w:r>
        <w:rPr>
          <w:rFonts w:hint="eastAsia" w:eastAsia="仿宋_GB2312"/>
          <w:color w:val="000000" w:themeColor="text1"/>
          <w:kern w:val="0"/>
          <w:sz w:val="32"/>
          <w:szCs w:val="32"/>
        </w:rPr>
        <w:t>1765</w:t>
      </w:r>
      <w:r>
        <w:rPr>
          <w:rFonts w:eastAsia="仿宋_GB2312"/>
          <w:color w:val="000000" w:themeColor="text1"/>
          <w:kern w:val="0"/>
          <w:sz w:val="32"/>
          <w:szCs w:val="32"/>
        </w:rPr>
        <w:t>人，比2013年末</w:t>
      </w:r>
      <w:r>
        <w:rPr>
          <w:rFonts w:hint="eastAsia" w:eastAsia="仿宋_GB2312"/>
          <w:color w:val="000000" w:themeColor="text1"/>
          <w:kern w:val="0"/>
          <w:sz w:val="32"/>
          <w:szCs w:val="32"/>
        </w:rPr>
        <w:t>增长9.8</w:t>
      </w:r>
      <w:r>
        <w:rPr>
          <w:rFonts w:eastAsia="仿宋_GB2312"/>
          <w:color w:val="000000" w:themeColor="text1"/>
          <w:kern w:val="0"/>
          <w:sz w:val="32"/>
          <w:szCs w:val="32"/>
        </w:rPr>
        <w:t xml:space="preserve">%。 </w:t>
      </w:r>
    </w:p>
    <w:p>
      <w:pPr>
        <w:widowControl/>
        <w:spacing w:line="580" w:lineRule="exact"/>
        <w:ind w:firstLine="640" w:firstLineChars="200"/>
        <w:rPr>
          <w:rFonts w:eastAsia="仿宋_GB2312"/>
          <w:kern w:val="0"/>
          <w:sz w:val="32"/>
          <w:szCs w:val="32"/>
        </w:rPr>
      </w:pPr>
      <w:r>
        <w:rPr>
          <w:rFonts w:eastAsia="仿宋_GB2312"/>
          <w:kern w:val="0"/>
          <w:sz w:val="32"/>
          <w:szCs w:val="32"/>
        </w:rPr>
        <w:t>在批发和零售业企业法人单位中，批发业占</w:t>
      </w:r>
      <w:r>
        <w:rPr>
          <w:rFonts w:hint="eastAsia" w:eastAsia="仿宋_GB2312"/>
          <w:kern w:val="0"/>
          <w:sz w:val="32"/>
          <w:szCs w:val="32"/>
        </w:rPr>
        <w:t>34.93</w:t>
      </w:r>
      <w:r>
        <w:rPr>
          <w:rFonts w:eastAsia="仿宋_GB2312"/>
          <w:kern w:val="0"/>
          <w:sz w:val="32"/>
          <w:szCs w:val="32"/>
        </w:rPr>
        <w:t>%，零售业占</w:t>
      </w:r>
      <w:r>
        <w:rPr>
          <w:rFonts w:hint="eastAsia" w:eastAsia="仿宋_GB2312"/>
          <w:kern w:val="0"/>
          <w:sz w:val="32"/>
          <w:szCs w:val="32"/>
        </w:rPr>
        <w:t>65.07</w:t>
      </w:r>
      <w:r>
        <w:rPr>
          <w:rFonts w:eastAsia="仿宋_GB2312"/>
          <w:kern w:val="0"/>
          <w:sz w:val="32"/>
          <w:szCs w:val="32"/>
        </w:rPr>
        <w:t>%。在批发和零售业企业法人单位从业人员中，批发业占</w:t>
      </w:r>
      <w:r>
        <w:rPr>
          <w:rFonts w:hint="eastAsia" w:eastAsia="仿宋_GB2312"/>
          <w:kern w:val="0"/>
          <w:sz w:val="32"/>
          <w:szCs w:val="32"/>
        </w:rPr>
        <w:t>31.61</w:t>
      </w:r>
      <w:r>
        <w:rPr>
          <w:rFonts w:eastAsia="仿宋_GB2312"/>
          <w:kern w:val="0"/>
          <w:sz w:val="32"/>
          <w:szCs w:val="32"/>
        </w:rPr>
        <w:t>%，零售业占</w:t>
      </w:r>
      <w:r>
        <w:rPr>
          <w:rFonts w:hint="eastAsia" w:eastAsia="仿宋_GB2312"/>
          <w:kern w:val="0"/>
          <w:sz w:val="32"/>
          <w:szCs w:val="32"/>
        </w:rPr>
        <w:t>68.39</w:t>
      </w:r>
      <w:r>
        <w:rPr>
          <w:rFonts w:eastAsia="仿宋_GB2312"/>
          <w:kern w:val="0"/>
          <w:sz w:val="32"/>
          <w:szCs w:val="32"/>
        </w:rPr>
        <w:t>%（详见表4-1）。</w:t>
      </w:r>
    </w:p>
    <w:tbl>
      <w:tblPr>
        <w:tblStyle w:val="4"/>
        <w:tblW w:w="7797" w:type="dxa"/>
        <w:tblInd w:w="675" w:type="dxa"/>
        <w:tblLayout w:type="autofit"/>
        <w:tblCellMar>
          <w:top w:w="0" w:type="dxa"/>
          <w:left w:w="108" w:type="dxa"/>
          <w:bottom w:w="0" w:type="dxa"/>
          <w:right w:w="108" w:type="dxa"/>
        </w:tblCellMar>
      </w:tblPr>
      <w:tblGrid>
        <w:gridCol w:w="4820"/>
        <w:gridCol w:w="1701"/>
        <w:gridCol w:w="1276"/>
      </w:tblGrid>
      <w:tr>
        <w:tblPrEx>
          <w:tblCellMar>
            <w:top w:w="0" w:type="dxa"/>
            <w:left w:w="108" w:type="dxa"/>
            <w:bottom w:w="0" w:type="dxa"/>
            <w:right w:w="108" w:type="dxa"/>
          </w:tblCellMar>
        </w:tblPrEx>
        <w:trPr>
          <w:trHeight w:val="900" w:hRule="atLeast"/>
        </w:trPr>
        <w:tc>
          <w:tcPr>
            <w:tcW w:w="7797" w:type="dxa"/>
            <w:gridSpan w:val="3"/>
            <w:tcBorders>
              <w:top w:val="nil"/>
              <w:left w:val="nil"/>
              <w:bottom w:val="nil"/>
              <w:right w:val="nil"/>
            </w:tcBorders>
            <w:shd w:val="clear" w:color="000000" w:fill="FFFFFF"/>
            <w:vAlign w:val="center"/>
          </w:tcPr>
          <w:p>
            <w:pPr>
              <w:widowControl/>
              <w:jc w:val="center"/>
              <w:rPr>
                <w:b/>
                <w:bCs/>
                <w:color w:val="000000"/>
                <w:kern w:val="0"/>
                <w:sz w:val="24"/>
              </w:rPr>
            </w:pPr>
            <w:r>
              <w:rPr>
                <w:b/>
                <w:bCs/>
                <w:color w:val="000000"/>
                <w:kern w:val="0"/>
                <w:sz w:val="24"/>
              </w:rPr>
              <w:t>表4-1</w:t>
            </w:r>
            <w:r>
              <w:rPr>
                <w:rFonts w:hint="eastAsia" w:ascii="宋体" w:hAnsi="宋体"/>
                <w:b/>
                <w:bCs/>
                <w:color w:val="000000"/>
                <w:kern w:val="0"/>
                <w:sz w:val="24"/>
              </w:rPr>
              <w:t>　按行业中类分组的批发和零售业企业法人单位和从业人员</w:t>
            </w:r>
          </w:p>
        </w:tc>
      </w:tr>
      <w:tr>
        <w:tblPrEx>
          <w:tblCellMar>
            <w:top w:w="0" w:type="dxa"/>
            <w:left w:w="108" w:type="dxa"/>
            <w:bottom w:w="0" w:type="dxa"/>
            <w:right w:w="108" w:type="dxa"/>
          </w:tblCellMar>
        </w:tblPrEx>
        <w:trPr>
          <w:trHeight w:val="570" w:hRule="atLeast"/>
        </w:trPr>
        <w:tc>
          <w:tcPr>
            <w:tcW w:w="4820"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701" w:type="dxa"/>
            <w:tcBorders>
              <w:top w:val="single" w:color="auto" w:sz="4" w:space="0"/>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企业法人单位</w:t>
            </w:r>
          </w:p>
        </w:tc>
        <w:tc>
          <w:tcPr>
            <w:tcW w:w="1276" w:type="dxa"/>
            <w:tcBorders>
              <w:top w:val="single" w:color="auto" w:sz="4" w:space="0"/>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从业人员</w:t>
            </w:r>
          </w:p>
        </w:tc>
      </w:tr>
      <w:tr>
        <w:tblPrEx>
          <w:tblCellMar>
            <w:top w:w="0" w:type="dxa"/>
            <w:left w:w="108" w:type="dxa"/>
            <w:bottom w:w="0" w:type="dxa"/>
            <w:right w:w="108" w:type="dxa"/>
          </w:tblCellMar>
        </w:tblPrEx>
        <w:trPr>
          <w:trHeight w:val="373" w:hRule="atLeast"/>
        </w:trPr>
        <w:tc>
          <w:tcPr>
            <w:tcW w:w="4820" w:type="dxa"/>
            <w:vMerge w:val="continue"/>
            <w:tcBorders>
              <w:top w:val="single" w:color="auto" w:sz="4" w:space="0"/>
              <w:left w:val="nil"/>
              <w:bottom w:val="single" w:color="auto" w:sz="4" w:space="0"/>
              <w:right w:val="single" w:color="auto" w:sz="4" w:space="0"/>
            </w:tcBorders>
            <w:vAlign w:val="center"/>
          </w:tcPr>
          <w:p>
            <w:pPr>
              <w:widowControl/>
              <w:jc w:val="left"/>
              <w:rPr>
                <w:b/>
                <w:bCs/>
                <w:color w:val="000000"/>
                <w:kern w:val="0"/>
                <w:szCs w:val="21"/>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（个）</w:t>
            </w:r>
          </w:p>
        </w:tc>
        <w:tc>
          <w:tcPr>
            <w:tcW w:w="1276" w:type="dxa"/>
            <w:tcBorders>
              <w:top w:val="nil"/>
              <w:left w:val="nil"/>
              <w:bottom w:val="single" w:color="auto" w:sz="4" w:space="0"/>
              <w:right w:val="nil"/>
            </w:tcBorders>
            <w:shd w:val="clear" w:color="auto" w:fill="auto"/>
            <w:vAlign w:val="center"/>
          </w:tcPr>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292</w:t>
            </w:r>
          </w:p>
        </w:tc>
        <w:tc>
          <w:tcPr>
            <w:tcW w:w="1276"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1765</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b/>
                <w:bCs/>
                <w:color w:val="000000"/>
                <w:kern w:val="0"/>
                <w:szCs w:val="21"/>
              </w:rPr>
            </w:pPr>
            <w:r>
              <w:rPr>
                <w:b/>
                <w:bCs/>
                <w:color w:val="000000"/>
                <w:kern w:val="0"/>
                <w:szCs w:val="21"/>
              </w:rPr>
              <w:t>批发业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102</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558</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农、林、牧、渔产品批发</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113</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食品、饮料及烟草制品批发</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148</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纺织、服装及家庭用品批发</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0</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文化、体育用品及器材批发</w:t>
            </w:r>
          </w:p>
        </w:tc>
        <w:tc>
          <w:tcPr>
            <w:tcW w:w="1701" w:type="dxa"/>
            <w:tcBorders>
              <w:top w:val="nil"/>
              <w:left w:val="nil"/>
              <w:bottom w:val="nil"/>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276"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医药及医疗器材批发</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43</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矿产品、建材及化工产品批发</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41</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172</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机械设备、五金产品及电子产品批发</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43</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其他批发业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b/>
                <w:bCs/>
                <w:color w:val="000000"/>
                <w:kern w:val="0"/>
                <w:szCs w:val="21"/>
              </w:rPr>
            </w:pPr>
            <w:r>
              <w:rPr>
                <w:b/>
                <w:bCs/>
                <w:color w:val="000000"/>
                <w:kern w:val="0"/>
                <w:szCs w:val="21"/>
              </w:rPr>
              <w:t>零售业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190</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1207</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综合零售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323</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食品、饮料及烟草制品专门零售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36</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231</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纺织、服装及日用品专门零售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52</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文化、体育用品及器材专门零售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96</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医药及医疗器材专门零售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56</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176</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汽车、摩托车、零配件和燃料及其他动力销售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125</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家用电器及电子产品专门零售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r>
      <w:tr>
        <w:tblPrEx>
          <w:tblCellMar>
            <w:top w:w="0" w:type="dxa"/>
            <w:left w:w="108" w:type="dxa"/>
            <w:bottom w:w="0" w:type="dxa"/>
            <w:right w:w="108" w:type="dxa"/>
          </w:tblCellMar>
        </w:tblPrEx>
        <w:trPr>
          <w:trHeight w:val="420" w:hRule="atLeast"/>
        </w:trPr>
        <w:tc>
          <w:tcPr>
            <w:tcW w:w="482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五金、家具及室内装饰材料专门零售</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276"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r>
      <w:tr>
        <w:tblPrEx>
          <w:tblCellMar>
            <w:top w:w="0" w:type="dxa"/>
            <w:left w:w="108" w:type="dxa"/>
            <w:bottom w:w="0" w:type="dxa"/>
            <w:right w:w="108" w:type="dxa"/>
          </w:tblCellMar>
        </w:tblPrEx>
        <w:trPr>
          <w:trHeight w:val="420" w:hRule="atLeast"/>
        </w:trPr>
        <w:tc>
          <w:tcPr>
            <w:tcW w:w="4820" w:type="dxa"/>
            <w:tcBorders>
              <w:top w:val="nil"/>
              <w:left w:val="nil"/>
              <w:bottom w:val="single" w:color="auto" w:sz="4" w:space="0"/>
              <w:right w:val="single" w:color="auto" w:sz="4" w:space="0"/>
            </w:tcBorders>
            <w:shd w:val="clear" w:color="auto" w:fill="auto"/>
            <w:vAlign w:val="center"/>
          </w:tcPr>
          <w:p>
            <w:pPr>
              <w:widowControl/>
              <w:rPr>
                <w:color w:val="000000"/>
                <w:kern w:val="0"/>
                <w:szCs w:val="21"/>
              </w:rPr>
            </w:pPr>
            <w:r>
              <w:rPr>
                <w:color w:val="000000"/>
                <w:kern w:val="0"/>
                <w:szCs w:val="21"/>
              </w:rPr>
              <w:t>　货摊、无店铺及其他零售业</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1276"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164</w:t>
            </w:r>
          </w:p>
        </w:tc>
      </w:tr>
    </w:tbl>
    <w:p>
      <w:pPr>
        <w:spacing w:line="580" w:lineRule="exact"/>
        <w:ind w:firstLine="640" w:firstLineChars="200"/>
        <w:rPr>
          <w:rFonts w:eastAsia="仿宋_GB2312"/>
          <w:kern w:val="0"/>
          <w:sz w:val="32"/>
          <w:szCs w:val="32"/>
        </w:rPr>
      </w:pPr>
      <w:r>
        <w:rPr>
          <w:rFonts w:eastAsia="仿宋_GB2312"/>
          <w:kern w:val="0"/>
          <w:sz w:val="32"/>
          <w:szCs w:val="32"/>
        </w:rPr>
        <w:t>在批发和零售业企业法人单位中，内资企业占</w:t>
      </w:r>
      <w:r>
        <w:rPr>
          <w:rFonts w:hint="eastAsia" w:eastAsia="仿宋_GB2312"/>
          <w:kern w:val="0"/>
          <w:sz w:val="32"/>
          <w:szCs w:val="32"/>
        </w:rPr>
        <w:t>100</w:t>
      </w:r>
      <w:r>
        <w:rPr>
          <w:rFonts w:eastAsia="仿宋_GB2312"/>
          <w:kern w:val="0"/>
          <w:sz w:val="32"/>
          <w:szCs w:val="32"/>
        </w:rPr>
        <w:t>%，港、澳、台商投资企业占</w:t>
      </w:r>
      <w:r>
        <w:rPr>
          <w:rFonts w:hint="eastAsia" w:eastAsia="仿宋_GB2312"/>
          <w:kern w:val="0"/>
          <w:sz w:val="32"/>
          <w:szCs w:val="32"/>
        </w:rPr>
        <w:t>0</w:t>
      </w:r>
      <w:r>
        <w:rPr>
          <w:rFonts w:eastAsia="仿宋_GB2312"/>
          <w:kern w:val="0"/>
          <w:sz w:val="32"/>
          <w:szCs w:val="32"/>
        </w:rPr>
        <w:t>%，外商投资企业占</w:t>
      </w:r>
      <w:r>
        <w:rPr>
          <w:rFonts w:hint="eastAsia" w:eastAsia="仿宋_GB2312"/>
          <w:kern w:val="0"/>
          <w:sz w:val="32"/>
          <w:szCs w:val="32"/>
        </w:rPr>
        <w:t>0</w:t>
      </w:r>
      <w:r>
        <w:rPr>
          <w:rFonts w:eastAsia="仿宋_GB2312"/>
          <w:kern w:val="0"/>
          <w:sz w:val="32"/>
          <w:szCs w:val="32"/>
        </w:rPr>
        <w:t>%。</w:t>
      </w:r>
    </w:p>
    <w:p>
      <w:pPr>
        <w:spacing w:line="580" w:lineRule="exact"/>
        <w:ind w:firstLine="640" w:firstLineChars="200"/>
        <w:rPr>
          <w:rFonts w:eastAsia="仿宋_GB2312"/>
          <w:kern w:val="0"/>
          <w:sz w:val="32"/>
          <w:szCs w:val="32"/>
        </w:rPr>
      </w:pPr>
      <w:r>
        <w:rPr>
          <w:rFonts w:eastAsia="仿宋_GB2312"/>
          <w:kern w:val="0"/>
          <w:sz w:val="32"/>
          <w:szCs w:val="32"/>
        </w:rPr>
        <w:t>在批发和零售业企业法人单位从业人员中，内资企业占</w:t>
      </w:r>
      <w:r>
        <w:rPr>
          <w:rFonts w:hint="eastAsia" w:eastAsia="仿宋_GB2312"/>
          <w:kern w:val="0"/>
          <w:sz w:val="32"/>
          <w:szCs w:val="32"/>
        </w:rPr>
        <w:t>100</w:t>
      </w:r>
      <w:r>
        <w:rPr>
          <w:rFonts w:eastAsia="仿宋_GB2312"/>
          <w:kern w:val="0"/>
          <w:sz w:val="32"/>
          <w:szCs w:val="32"/>
        </w:rPr>
        <w:t>%，港、澳、台商投资企业占</w:t>
      </w:r>
      <w:r>
        <w:rPr>
          <w:rFonts w:hint="eastAsia" w:eastAsia="仿宋_GB2312"/>
          <w:kern w:val="0"/>
          <w:sz w:val="32"/>
          <w:szCs w:val="32"/>
        </w:rPr>
        <w:t>0</w:t>
      </w:r>
      <w:r>
        <w:rPr>
          <w:rFonts w:eastAsia="仿宋_GB2312"/>
          <w:kern w:val="0"/>
          <w:sz w:val="32"/>
          <w:szCs w:val="32"/>
        </w:rPr>
        <w:t>%，外商投资企业占</w:t>
      </w:r>
      <w:r>
        <w:rPr>
          <w:rFonts w:hint="eastAsia" w:eastAsia="仿宋_GB2312"/>
          <w:kern w:val="0"/>
          <w:sz w:val="32"/>
          <w:szCs w:val="32"/>
        </w:rPr>
        <w:t>0</w:t>
      </w:r>
      <w:r>
        <w:rPr>
          <w:rFonts w:eastAsia="仿宋_GB2312"/>
          <w:kern w:val="0"/>
          <w:sz w:val="32"/>
          <w:szCs w:val="32"/>
        </w:rPr>
        <w:t>%（详见表4-2）。</w:t>
      </w:r>
    </w:p>
    <w:tbl>
      <w:tblPr>
        <w:tblStyle w:val="4"/>
        <w:tblW w:w="7796" w:type="dxa"/>
        <w:tblInd w:w="534" w:type="dxa"/>
        <w:tblLayout w:type="autofit"/>
        <w:tblCellMar>
          <w:top w:w="0" w:type="dxa"/>
          <w:left w:w="108" w:type="dxa"/>
          <w:bottom w:w="0" w:type="dxa"/>
          <w:right w:w="108" w:type="dxa"/>
        </w:tblCellMar>
      </w:tblPr>
      <w:tblGrid>
        <w:gridCol w:w="4252"/>
        <w:gridCol w:w="1701"/>
        <w:gridCol w:w="1843"/>
      </w:tblGrid>
      <w:tr>
        <w:tblPrEx>
          <w:tblCellMar>
            <w:top w:w="0" w:type="dxa"/>
            <w:left w:w="108" w:type="dxa"/>
            <w:bottom w:w="0" w:type="dxa"/>
            <w:right w:w="108" w:type="dxa"/>
          </w:tblCellMar>
        </w:tblPrEx>
        <w:trPr>
          <w:trHeight w:val="746" w:hRule="atLeast"/>
        </w:trPr>
        <w:tc>
          <w:tcPr>
            <w:tcW w:w="7796" w:type="dxa"/>
            <w:gridSpan w:val="3"/>
            <w:tcBorders>
              <w:top w:val="nil"/>
              <w:left w:val="nil"/>
              <w:bottom w:val="single" w:color="auto" w:sz="8" w:space="0"/>
              <w:right w:val="nil"/>
            </w:tcBorders>
            <w:shd w:val="clear" w:color="000000" w:fill="FFFFFF"/>
            <w:vAlign w:val="center"/>
          </w:tcPr>
          <w:p>
            <w:pPr>
              <w:widowControl/>
              <w:jc w:val="center"/>
              <w:rPr>
                <w:b/>
                <w:bCs/>
                <w:color w:val="000000"/>
                <w:kern w:val="0"/>
                <w:sz w:val="24"/>
              </w:rPr>
            </w:pPr>
            <w:r>
              <w:rPr>
                <w:b/>
                <w:bCs/>
                <w:color w:val="000000"/>
                <w:kern w:val="0"/>
                <w:sz w:val="24"/>
              </w:rPr>
              <w:t>表4-2</w:t>
            </w:r>
            <w:r>
              <w:rPr>
                <w:rFonts w:hint="eastAsia" w:ascii="宋体" w:hAnsi="宋体"/>
                <w:b/>
                <w:bCs/>
                <w:color w:val="000000"/>
                <w:kern w:val="0"/>
                <w:sz w:val="24"/>
              </w:rPr>
              <w:t>　按登记注册类型分组的批发和零售业企业法人单位和从业人员</w:t>
            </w:r>
          </w:p>
        </w:tc>
      </w:tr>
      <w:tr>
        <w:tblPrEx>
          <w:tblCellMar>
            <w:top w:w="0" w:type="dxa"/>
            <w:left w:w="108" w:type="dxa"/>
            <w:bottom w:w="0" w:type="dxa"/>
            <w:right w:w="108" w:type="dxa"/>
          </w:tblCellMar>
        </w:tblPrEx>
        <w:trPr>
          <w:trHeight w:val="570" w:hRule="atLeast"/>
        </w:trPr>
        <w:tc>
          <w:tcPr>
            <w:tcW w:w="4252" w:type="dxa"/>
            <w:vMerge w:val="restart"/>
            <w:tcBorders>
              <w:top w:val="single" w:color="auto" w:sz="8" w:space="0"/>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701" w:type="dxa"/>
            <w:tcBorders>
              <w:top w:val="single" w:color="auto" w:sz="8" w:space="0"/>
              <w:left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企业法人单位</w:t>
            </w:r>
          </w:p>
        </w:tc>
        <w:tc>
          <w:tcPr>
            <w:tcW w:w="1843" w:type="dxa"/>
            <w:tcBorders>
              <w:top w:val="single" w:color="auto" w:sz="8" w:space="0"/>
              <w:left w:val="nil"/>
              <w:right w:val="nil"/>
            </w:tcBorders>
            <w:shd w:val="clear" w:color="auto" w:fill="auto"/>
            <w:vAlign w:val="center"/>
          </w:tcPr>
          <w:p>
            <w:pPr>
              <w:widowControl/>
              <w:jc w:val="center"/>
              <w:rPr>
                <w:b/>
                <w:bCs/>
                <w:color w:val="000000"/>
                <w:kern w:val="0"/>
                <w:szCs w:val="21"/>
              </w:rPr>
            </w:pPr>
            <w:r>
              <w:rPr>
                <w:b/>
                <w:bCs/>
                <w:color w:val="000000"/>
                <w:kern w:val="0"/>
                <w:szCs w:val="21"/>
              </w:rPr>
              <w:t>从业人员</w:t>
            </w:r>
          </w:p>
        </w:tc>
      </w:tr>
      <w:tr>
        <w:tblPrEx>
          <w:tblCellMar>
            <w:top w:w="0" w:type="dxa"/>
            <w:left w:w="108" w:type="dxa"/>
            <w:bottom w:w="0" w:type="dxa"/>
            <w:right w:w="108" w:type="dxa"/>
          </w:tblCellMar>
        </w:tblPrEx>
        <w:trPr>
          <w:trHeight w:val="82" w:hRule="atLeast"/>
        </w:trPr>
        <w:tc>
          <w:tcPr>
            <w:tcW w:w="4252" w:type="dxa"/>
            <w:vMerge w:val="continue"/>
            <w:tcBorders>
              <w:top w:val="single" w:color="auto" w:sz="8" w:space="0"/>
              <w:left w:val="nil"/>
              <w:bottom w:val="single" w:color="auto" w:sz="8" w:space="0"/>
              <w:right w:val="single" w:color="auto" w:sz="8" w:space="0"/>
            </w:tcBorders>
            <w:vAlign w:val="center"/>
          </w:tcPr>
          <w:p>
            <w:pPr>
              <w:widowControl/>
              <w:jc w:val="left"/>
              <w:rPr>
                <w:b/>
                <w:bCs/>
                <w:color w:val="000000"/>
                <w:kern w:val="0"/>
                <w:szCs w:val="21"/>
              </w:rPr>
            </w:pPr>
          </w:p>
        </w:tc>
        <w:tc>
          <w:tcPr>
            <w:tcW w:w="1701" w:type="dxa"/>
            <w:tcBorders>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（个）</w:t>
            </w:r>
          </w:p>
        </w:tc>
        <w:tc>
          <w:tcPr>
            <w:tcW w:w="1843" w:type="dxa"/>
            <w:tcBorders>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270" w:hRule="atLeast"/>
        </w:trPr>
        <w:tc>
          <w:tcPr>
            <w:tcW w:w="4252" w:type="dxa"/>
            <w:tcBorders>
              <w:top w:val="single" w:color="auto" w:sz="8" w:space="0"/>
              <w:left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701" w:type="dxa"/>
            <w:tcBorders>
              <w:top w:val="single" w:color="auto" w:sz="8" w:space="0"/>
              <w:left w:val="nil"/>
              <w:right w:val="single" w:color="auto" w:sz="8" w:space="0"/>
            </w:tcBorders>
            <w:shd w:val="clear" w:color="auto" w:fill="auto"/>
            <w:vAlign w:val="bottom"/>
          </w:tcPr>
          <w:p>
            <w:pPr>
              <w:widowControl/>
              <w:jc w:val="right"/>
              <w:rPr>
                <w:b/>
                <w:bCs/>
                <w:color w:val="000000"/>
                <w:kern w:val="0"/>
                <w:szCs w:val="21"/>
              </w:rPr>
            </w:pPr>
            <w:r>
              <w:rPr>
                <w:b/>
                <w:bCs/>
                <w:color w:val="000000"/>
                <w:kern w:val="0"/>
                <w:szCs w:val="21"/>
              </w:rPr>
              <w:t>292</w:t>
            </w:r>
          </w:p>
        </w:tc>
        <w:tc>
          <w:tcPr>
            <w:tcW w:w="1843" w:type="dxa"/>
            <w:tcBorders>
              <w:top w:val="single" w:color="auto" w:sz="8" w:space="0"/>
              <w:left w:val="nil"/>
              <w:right w:val="nil"/>
            </w:tcBorders>
            <w:shd w:val="clear" w:color="auto" w:fill="auto"/>
            <w:vAlign w:val="bottom"/>
          </w:tcPr>
          <w:p>
            <w:pPr>
              <w:widowControl/>
              <w:jc w:val="right"/>
              <w:rPr>
                <w:b/>
                <w:bCs/>
                <w:color w:val="000000"/>
                <w:kern w:val="0"/>
                <w:szCs w:val="21"/>
              </w:rPr>
            </w:pPr>
            <w:r>
              <w:rPr>
                <w:b/>
                <w:bCs/>
                <w:color w:val="000000"/>
                <w:kern w:val="0"/>
                <w:szCs w:val="21"/>
              </w:rPr>
              <w:t>1765</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b/>
                <w:bCs/>
                <w:color w:val="000000"/>
                <w:kern w:val="0"/>
                <w:szCs w:val="21"/>
              </w:rPr>
            </w:pPr>
            <w:r>
              <w:rPr>
                <w:b/>
                <w:bCs/>
                <w:color w:val="000000"/>
                <w:kern w:val="0"/>
                <w:szCs w:val="21"/>
              </w:rPr>
              <w:t>内资企业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292</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1765</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国有企业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3</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27</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集体企业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20</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165</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股份合作企业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0</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0</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联营企业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1</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18</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有限责任公司</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23</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247</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股份有限公司</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2</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38</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私营企业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243</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1270</w:t>
            </w:r>
          </w:p>
        </w:tc>
      </w:tr>
      <w:tr>
        <w:tblPrEx>
          <w:tblCellMar>
            <w:top w:w="0" w:type="dxa"/>
            <w:left w:w="108" w:type="dxa"/>
            <w:bottom w:w="0" w:type="dxa"/>
            <w:right w:w="108" w:type="dxa"/>
          </w:tblCellMar>
        </w:tblPrEx>
        <w:trPr>
          <w:trHeight w:val="270" w:hRule="atLeast"/>
        </w:trPr>
        <w:tc>
          <w:tcPr>
            <w:tcW w:w="4252" w:type="dxa"/>
            <w:tcBorders>
              <w:left w:val="nil"/>
              <w:right w:val="single" w:color="auto" w:sz="8" w:space="0"/>
            </w:tcBorders>
            <w:shd w:val="clear" w:color="auto" w:fill="auto"/>
            <w:vAlign w:val="center"/>
          </w:tcPr>
          <w:p>
            <w:pPr>
              <w:widowControl/>
              <w:rPr>
                <w:color w:val="000000"/>
                <w:kern w:val="0"/>
                <w:szCs w:val="21"/>
              </w:rPr>
            </w:pPr>
            <w:r>
              <w:rPr>
                <w:color w:val="000000"/>
                <w:kern w:val="0"/>
                <w:szCs w:val="21"/>
              </w:rPr>
              <w:t>　其他企业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0</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0</w:t>
            </w:r>
          </w:p>
        </w:tc>
      </w:tr>
      <w:tr>
        <w:tblPrEx>
          <w:tblCellMar>
            <w:top w:w="0" w:type="dxa"/>
            <w:left w:w="108" w:type="dxa"/>
            <w:bottom w:w="0" w:type="dxa"/>
            <w:right w:w="108" w:type="dxa"/>
          </w:tblCellMar>
        </w:tblPrEx>
        <w:trPr>
          <w:trHeight w:val="343" w:hRule="atLeast"/>
        </w:trPr>
        <w:tc>
          <w:tcPr>
            <w:tcW w:w="4252" w:type="dxa"/>
            <w:tcBorders>
              <w:left w:val="nil"/>
              <w:right w:val="single" w:color="auto" w:sz="8" w:space="0"/>
            </w:tcBorders>
            <w:shd w:val="clear" w:color="auto" w:fill="auto"/>
            <w:vAlign w:val="center"/>
          </w:tcPr>
          <w:p>
            <w:pPr>
              <w:widowControl/>
              <w:rPr>
                <w:b/>
                <w:bCs/>
                <w:color w:val="000000"/>
                <w:kern w:val="0"/>
                <w:szCs w:val="21"/>
              </w:rPr>
            </w:pPr>
            <w:r>
              <w:rPr>
                <w:b/>
                <w:bCs/>
                <w:color w:val="000000"/>
                <w:kern w:val="0"/>
                <w:szCs w:val="21"/>
              </w:rPr>
              <w:t>港、澳、台商投资企业</w:t>
            </w:r>
          </w:p>
        </w:tc>
        <w:tc>
          <w:tcPr>
            <w:tcW w:w="1701" w:type="dxa"/>
            <w:tcBorders>
              <w:left w:val="nil"/>
              <w:right w:val="single" w:color="auto" w:sz="8" w:space="0"/>
            </w:tcBorders>
            <w:shd w:val="clear" w:color="auto" w:fill="auto"/>
            <w:vAlign w:val="bottom"/>
          </w:tcPr>
          <w:p>
            <w:pPr>
              <w:widowControl/>
              <w:jc w:val="right"/>
              <w:rPr>
                <w:color w:val="000000"/>
                <w:kern w:val="0"/>
                <w:szCs w:val="21"/>
              </w:rPr>
            </w:pPr>
            <w:r>
              <w:rPr>
                <w:color w:val="000000"/>
                <w:kern w:val="0"/>
                <w:szCs w:val="21"/>
              </w:rPr>
              <w:t>0</w:t>
            </w:r>
          </w:p>
        </w:tc>
        <w:tc>
          <w:tcPr>
            <w:tcW w:w="1843" w:type="dxa"/>
            <w:tcBorders>
              <w:left w:val="nil"/>
              <w:right w:val="nil"/>
            </w:tcBorders>
            <w:shd w:val="clear" w:color="auto" w:fill="auto"/>
            <w:vAlign w:val="bottom"/>
          </w:tcPr>
          <w:p>
            <w:pPr>
              <w:widowControl/>
              <w:jc w:val="right"/>
              <w:rPr>
                <w:color w:val="000000"/>
                <w:kern w:val="0"/>
                <w:szCs w:val="21"/>
              </w:rPr>
            </w:pPr>
            <w:r>
              <w:rPr>
                <w:color w:val="000000"/>
                <w:kern w:val="0"/>
                <w:szCs w:val="21"/>
              </w:rPr>
              <w:t>0</w:t>
            </w:r>
          </w:p>
        </w:tc>
      </w:tr>
      <w:tr>
        <w:tblPrEx>
          <w:tblCellMar>
            <w:top w:w="0" w:type="dxa"/>
            <w:left w:w="108" w:type="dxa"/>
            <w:bottom w:w="0" w:type="dxa"/>
            <w:right w:w="108" w:type="dxa"/>
          </w:tblCellMar>
        </w:tblPrEx>
        <w:trPr>
          <w:trHeight w:val="405" w:hRule="atLeast"/>
        </w:trPr>
        <w:tc>
          <w:tcPr>
            <w:tcW w:w="4252" w:type="dxa"/>
            <w:tcBorders>
              <w:left w:val="nil"/>
              <w:bottom w:val="single" w:color="auto" w:sz="8" w:space="0"/>
              <w:right w:val="single" w:color="auto" w:sz="8" w:space="0"/>
            </w:tcBorders>
            <w:shd w:val="clear" w:color="auto" w:fill="auto"/>
            <w:vAlign w:val="center"/>
          </w:tcPr>
          <w:p>
            <w:pPr>
              <w:widowControl/>
              <w:rPr>
                <w:b/>
                <w:bCs/>
                <w:color w:val="000000"/>
                <w:kern w:val="0"/>
                <w:szCs w:val="21"/>
              </w:rPr>
            </w:pPr>
            <w:r>
              <w:rPr>
                <w:b/>
                <w:bCs/>
                <w:color w:val="000000"/>
                <w:kern w:val="0"/>
                <w:szCs w:val="21"/>
              </w:rPr>
              <w:t>商投资企业</w:t>
            </w:r>
          </w:p>
        </w:tc>
        <w:tc>
          <w:tcPr>
            <w:tcW w:w="1701" w:type="dxa"/>
            <w:tcBorders>
              <w:left w:val="nil"/>
              <w:bottom w:val="single" w:color="auto" w:sz="8" w:space="0"/>
              <w:right w:val="single" w:color="auto" w:sz="8" w:space="0"/>
            </w:tcBorders>
            <w:shd w:val="clear" w:color="auto" w:fill="auto"/>
            <w:vAlign w:val="bottom"/>
          </w:tcPr>
          <w:p>
            <w:pPr>
              <w:widowControl/>
              <w:jc w:val="right"/>
              <w:rPr>
                <w:color w:val="000000"/>
                <w:kern w:val="0"/>
                <w:szCs w:val="21"/>
              </w:rPr>
            </w:pPr>
            <w:r>
              <w:rPr>
                <w:color w:val="000000"/>
                <w:kern w:val="0"/>
                <w:szCs w:val="21"/>
              </w:rPr>
              <w:t>0</w:t>
            </w:r>
          </w:p>
        </w:tc>
        <w:tc>
          <w:tcPr>
            <w:tcW w:w="1843" w:type="dxa"/>
            <w:tcBorders>
              <w:left w:val="nil"/>
              <w:bottom w:val="single" w:color="auto" w:sz="8" w:space="0"/>
              <w:right w:val="nil"/>
            </w:tcBorders>
            <w:shd w:val="clear" w:color="auto" w:fill="auto"/>
            <w:vAlign w:val="bottom"/>
          </w:tcPr>
          <w:p>
            <w:pPr>
              <w:widowControl/>
              <w:jc w:val="right"/>
              <w:rPr>
                <w:color w:val="000000"/>
                <w:kern w:val="0"/>
                <w:szCs w:val="21"/>
              </w:rPr>
            </w:pPr>
            <w:r>
              <w:rPr>
                <w:color w:val="000000"/>
                <w:kern w:val="0"/>
                <w:szCs w:val="21"/>
              </w:rPr>
              <w:t>0</w:t>
            </w:r>
          </w:p>
        </w:tc>
      </w:tr>
    </w:tbl>
    <w:p>
      <w:pPr>
        <w:widowControl/>
        <w:spacing w:line="20" w:lineRule="atLeast"/>
        <w:ind w:firstLine="200" w:firstLineChars="200"/>
        <w:rPr>
          <w:rFonts w:eastAsia="仿宋_GB2312"/>
          <w:kern w:val="0"/>
          <w:sz w:val="10"/>
          <w:szCs w:val="10"/>
        </w:rPr>
      </w:pPr>
    </w:p>
    <w:p>
      <w:pPr>
        <w:widowControl/>
        <w:spacing w:line="600" w:lineRule="exact"/>
        <w:ind w:firstLine="643" w:firstLineChars="200"/>
        <w:rPr>
          <w:rFonts w:eastAsia="楷体_GB2312"/>
          <w:b/>
          <w:kern w:val="0"/>
          <w:sz w:val="32"/>
          <w:szCs w:val="32"/>
        </w:rPr>
      </w:pPr>
      <w:r>
        <w:rPr>
          <w:rFonts w:eastAsia="楷体_GB2312"/>
          <w:b/>
          <w:kern w:val="0"/>
          <w:sz w:val="32"/>
          <w:szCs w:val="32"/>
        </w:rPr>
        <w:t>（二）主要经济指标。</w:t>
      </w:r>
    </w:p>
    <w:p>
      <w:pPr>
        <w:widowControl/>
        <w:spacing w:line="600" w:lineRule="exact"/>
        <w:ind w:firstLine="640" w:firstLineChars="200"/>
        <w:rPr>
          <w:rFonts w:eastAsia="仿宋_GB2312"/>
          <w:kern w:val="0"/>
          <w:sz w:val="32"/>
          <w:szCs w:val="32"/>
        </w:rPr>
      </w:pPr>
      <w:r>
        <w:rPr>
          <w:rFonts w:eastAsia="仿宋_GB2312"/>
          <w:kern w:val="0"/>
          <w:sz w:val="32"/>
          <w:szCs w:val="32"/>
        </w:rPr>
        <w:t>2018年末，批发和零售业企业法人单位资产总计</w:t>
      </w:r>
      <w:r>
        <w:rPr>
          <w:rFonts w:hint="eastAsia" w:eastAsia="仿宋_GB2312"/>
          <w:kern w:val="0"/>
          <w:sz w:val="32"/>
          <w:szCs w:val="32"/>
        </w:rPr>
        <w:t>72591</w:t>
      </w:r>
      <w:r>
        <w:rPr>
          <w:rFonts w:eastAsia="仿宋_GB2312"/>
          <w:kern w:val="0"/>
          <w:sz w:val="32"/>
          <w:szCs w:val="32"/>
        </w:rPr>
        <w:t>万元，</w:t>
      </w:r>
      <w:r>
        <w:rPr>
          <w:rFonts w:eastAsia="仿宋_GB2312"/>
          <w:color w:val="000000" w:themeColor="text1"/>
          <w:kern w:val="0"/>
          <w:sz w:val="32"/>
          <w:szCs w:val="32"/>
        </w:rPr>
        <w:t>比2013年末增长</w:t>
      </w:r>
      <w:r>
        <w:rPr>
          <w:rFonts w:hint="eastAsia" w:eastAsia="仿宋_GB2312"/>
          <w:color w:val="000000" w:themeColor="text1"/>
          <w:kern w:val="0"/>
          <w:sz w:val="32"/>
          <w:szCs w:val="32"/>
        </w:rPr>
        <w:t>295.1</w:t>
      </w:r>
      <w:r>
        <w:rPr>
          <w:rFonts w:eastAsia="仿宋_GB2312"/>
          <w:color w:val="000000" w:themeColor="text1"/>
          <w:kern w:val="0"/>
          <w:sz w:val="32"/>
          <w:szCs w:val="32"/>
        </w:rPr>
        <w:t>%。</w:t>
      </w:r>
      <w:r>
        <w:rPr>
          <w:rFonts w:eastAsia="仿宋_GB2312"/>
          <w:kern w:val="0"/>
          <w:sz w:val="32"/>
          <w:szCs w:val="32"/>
        </w:rPr>
        <w:t>其中，批发业企业法人单位资产总计</w:t>
      </w:r>
      <w:r>
        <w:rPr>
          <w:rFonts w:hint="eastAsia" w:eastAsia="仿宋_GB2312"/>
          <w:kern w:val="0"/>
          <w:sz w:val="32"/>
          <w:szCs w:val="32"/>
        </w:rPr>
        <w:t>46087.5</w:t>
      </w:r>
      <w:r>
        <w:rPr>
          <w:rFonts w:eastAsia="仿宋_GB2312"/>
          <w:kern w:val="0"/>
          <w:sz w:val="32"/>
          <w:szCs w:val="32"/>
        </w:rPr>
        <w:t>万元，零售业企业法人单位资产总计</w:t>
      </w:r>
      <w:r>
        <w:rPr>
          <w:rFonts w:hint="eastAsia" w:eastAsia="仿宋_GB2312"/>
          <w:kern w:val="0"/>
          <w:sz w:val="32"/>
          <w:szCs w:val="32"/>
        </w:rPr>
        <w:t>26503.5</w:t>
      </w:r>
      <w:r>
        <w:rPr>
          <w:rFonts w:eastAsia="仿宋_GB2312"/>
          <w:kern w:val="0"/>
          <w:sz w:val="32"/>
          <w:szCs w:val="32"/>
        </w:rPr>
        <w:t>万元，</w:t>
      </w:r>
      <w:r>
        <w:rPr>
          <w:rFonts w:eastAsia="仿宋_GB2312"/>
          <w:color w:val="000000" w:themeColor="text1"/>
          <w:kern w:val="0"/>
          <w:sz w:val="32"/>
          <w:szCs w:val="32"/>
        </w:rPr>
        <w:t>分别比2013年末增长</w:t>
      </w:r>
      <w:r>
        <w:rPr>
          <w:rFonts w:hint="eastAsia" w:eastAsia="仿宋_GB2312"/>
          <w:color w:val="000000" w:themeColor="text1"/>
          <w:kern w:val="0"/>
          <w:sz w:val="32"/>
          <w:szCs w:val="32"/>
        </w:rPr>
        <w:t>376.1</w:t>
      </w:r>
      <w:r>
        <w:rPr>
          <w:rFonts w:eastAsia="仿宋_GB2312"/>
          <w:color w:val="000000" w:themeColor="text1"/>
          <w:kern w:val="0"/>
          <w:sz w:val="32"/>
          <w:szCs w:val="32"/>
        </w:rPr>
        <w:t>%和</w:t>
      </w:r>
      <w:r>
        <w:rPr>
          <w:rFonts w:hint="eastAsia" w:eastAsia="仿宋_GB2312"/>
          <w:color w:val="000000" w:themeColor="text1"/>
          <w:kern w:val="0"/>
          <w:sz w:val="32"/>
          <w:szCs w:val="32"/>
        </w:rPr>
        <w:t>204.9</w:t>
      </w:r>
      <w:r>
        <w:rPr>
          <w:rFonts w:eastAsia="仿宋_GB2312"/>
          <w:color w:val="000000" w:themeColor="text1"/>
          <w:kern w:val="0"/>
          <w:sz w:val="32"/>
          <w:szCs w:val="32"/>
        </w:rPr>
        <w:t>%。</w:t>
      </w:r>
      <w:r>
        <w:rPr>
          <w:rFonts w:eastAsia="仿宋_GB2312"/>
          <w:kern w:val="0"/>
          <w:sz w:val="32"/>
          <w:szCs w:val="32"/>
        </w:rPr>
        <w:t>负债合计</w:t>
      </w:r>
      <w:r>
        <w:rPr>
          <w:rFonts w:hint="eastAsia" w:eastAsia="仿宋_GB2312"/>
          <w:kern w:val="0"/>
          <w:sz w:val="32"/>
          <w:szCs w:val="32"/>
        </w:rPr>
        <w:t>24112.7</w:t>
      </w:r>
      <w:r>
        <w:rPr>
          <w:rFonts w:eastAsia="仿宋_GB2312"/>
          <w:kern w:val="0"/>
          <w:sz w:val="32"/>
          <w:szCs w:val="32"/>
        </w:rPr>
        <w:t>万元。全年实现营业收入</w:t>
      </w:r>
      <w:r>
        <w:rPr>
          <w:rFonts w:hint="eastAsia" w:eastAsia="仿宋_GB2312"/>
          <w:kern w:val="0"/>
          <w:sz w:val="32"/>
          <w:szCs w:val="32"/>
        </w:rPr>
        <w:t>63420.4</w:t>
      </w:r>
      <w:r>
        <w:rPr>
          <w:rFonts w:eastAsia="仿宋_GB2312"/>
          <w:kern w:val="0"/>
          <w:sz w:val="32"/>
          <w:szCs w:val="32"/>
        </w:rPr>
        <w:t>万元（详见表4-3）。</w:t>
      </w:r>
    </w:p>
    <w:tbl>
      <w:tblPr>
        <w:tblStyle w:val="4"/>
        <w:tblW w:w="8520" w:type="dxa"/>
        <w:tblInd w:w="93" w:type="dxa"/>
        <w:tblLayout w:type="autofit"/>
        <w:tblCellMar>
          <w:top w:w="0" w:type="dxa"/>
          <w:left w:w="108" w:type="dxa"/>
          <w:bottom w:w="0" w:type="dxa"/>
          <w:right w:w="108" w:type="dxa"/>
        </w:tblCellMar>
      </w:tblPr>
      <w:tblGrid>
        <w:gridCol w:w="4977"/>
        <w:gridCol w:w="1275"/>
        <w:gridCol w:w="1134"/>
        <w:gridCol w:w="1134"/>
      </w:tblGrid>
      <w:tr>
        <w:tblPrEx>
          <w:tblCellMar>
            <w:top w:w="0" w:type="dxa"/>
            <w:left w:w="108" w:type="dxa"/>
            <w:bottom w:w="0" w:type="dxa"/>
            <w:right w:w="108" w:type="dxa"/>
          </w:tblCellMar>
        </w:tblPrEx>
        <w:trPr>
          <w:trHeight w:val="780" w:hRule="atLeast"/>
        </w:trPr>
        <w:tc>
          <w:tcPr>
            <w:tcW w:w="8520" w:type="dxa"/>
            <w:gridSpan w:val="4"/>
            <w:tcBorders>
              <w:top w:val="nil"/>
              <w:left w:val="nil"/>
              <w:bottom w:val="single" w:color="auto" w:sz="12" w:space="0"/>
              <w:right w:val="nil"/>
            </w:tcBorders>
            <w:shd w:val="clear" w:color="000000" w:fill="FFFFFF"/>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表</w:t>
            </w:r>
            <w:r>
              <w:rPr>
                <w:rFonts w:ascii="Arial" w:hAnsi="Arial" w:cs="Arial"/>
                <w:b/>
                <w:bCs/>
                <w:kern w:val="0"/>
                <w:sz w:val="24"/>
              </w:rPr>
              <w:t>4-3</w:t>
            </w:r>
            <w:r>
              <w:rPr>
                <w:rFonts w:hint="eastAsia" w:ascii="宋体" w:hAnsi="宋体" w:cs="宋体"/>
                <w:b/>
                <w:bCs/>
                <w:kern w:val="0"/>
                <w:sz w:val="24"/>
              </w:rPr>
              <w:t>　按行业中类分组的批发和零售业企业法人单位主要经济指标</w:t>
            </w:r>
          </w:p>
        </w:tc>
      </w:tr>
      <w:tr>
        <w:tblPrEx>
          <w:tblCellMar>
            <w:top w:w="0" w:type="dxa"/>
            <w:left w:w="108" w:type="dxa"/>
            <w:bottom w:w="0" w:type="dxa"/>
            <w:right w:w="108" w:type="dxa"/>
          </w:tblCellMar>
        </w:tblPrEx>
        <w:trPr>
          <w:trHeight w:val="330" w:hRule="atLeast"/>
        </w:trPr>
        <w:tc>
          <w:tcPr>
            <w:tcW w:w="4977" w:type="dxa"/>
            <w:vMerge w:val="restart"/>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指标名称</w:t>
            </w:r>
          </w:p>
        </w:tc>
        <w:tc>
          <w:tcPr>
            <w:tcW w:w="1275"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资产总计</w:t>
            </w:r>
          </w:p>
        </w:tc>
        <w:tc>
          <w:tcPr>
            <w:tcW w:w="1134"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负债合计</w:t>
            </w:r>
          </w:p>
        </w:tc>
        <w:tc>
          <w:tcPr>
            <w:tcW w:w="1134"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营业收入</w:t>
            </w:r>
          </w:p>
        </w:tc>
      </w:tr>
      <w:tr>
        <w:tblPrEx>
          <w:tblCellMar>
            <w:top w:w="0" w:type="dxa"/>
            <w:left w:w="108" w:type="dxa"/>
            <w:bottom w:w="0" w:type="dxa"/>
            <w:right w:w="108" w:type="dxa"/>
          </w:tblCellMar>
        </w:tblPrEx>
        <w:trPr>
          <w:trHeight w:val="270" w:hRule="atLeast"/>
        </w:trPr>
        <w:tc>
          <w:tcPr>
            <w:tcW w:w="4977" w:type="dxa"/>
            <w:vMerge w:val="continue"/>
            <w:tcBorders>
              <w:top w:val="nil"/>
              <w:left w:val="nil"/>
              <w:bottom w:val="single" w:color="auto" w:sz="8" w:space="0"/>
              <w:right w:val="single" w:color="auto" w:sz="8" w:space="0"/>
            </w:tcBorders>
            <w:vAlign w:val="center"/>
          </w:tcPr>
          <w:p>
            <w:pPr>
              <w:widowControl/>
              <w:jc w:val="left"/>
              <w:rPr>
                <w:b/>
                <w:bCs/>
                <w:color w:val="000000"/>
                <w:kern w:val="0"/>
                <w:szCs w:val="21"/>
              </w:rPr>
            </w:pPr>
          </w:p>
        </w:tc>
        <w:tc>
          <w:tcPr>
            <w:tcW w:w="1275"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134"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（万元）</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总</w:t>
            </w:r>
            <w:r>
              <w:rPr>
                <w:rFonts w:hint="eastAsia"/>
                <w:b/>
                <w:bCs/>
                <w:color w:val="000000"/>
                <w:kern w:val="0"/>
                <w:szCs w:val="21"/>
              </w:rPr>
              <w:t xml:space="preserve">     </w:t>
            </w:r>
            <w:r>
              <w:rPr>
                <w:b/>
                <w:bCs/>
                <w:color w:val="000000"/>
                <w:kern w:val="0"/>
                <w:szCs w:val="21"/>
              </w:rPr>
              <w:t>计</w:t>
            </w:r>
          </w:p>
        </w:tc>
        <w:tc>
          <w:tcPr>
            <w:tcW w:w="1275" w:type="dxa"/>
            <w:tcBorders>
              <w:top w:val="nil"/>
              <w:left w:val="nil"/>
              <w:bottom w:val="nil"/>
              <w:right w:val="single" w:color="000000" w:sz="8" w:space="0"/>
            </w:tcBorders>
            <w:shd w:val="clear" w:color="auto" w:fill="auto"/>
            <w:vAlign w:val="center"/>
          </w:tcPr>
          <w:p>
            <w:pPr>
              <w:widowControl/>
              <w:jc w:val="center"/>
              <w:rPr>
                <w:b/>
                <w:bCs/>
                <w:color w:val="000000"/>
                <w:kern w:val="0"/>
                <w:sz w:val="22"/>
                <w:szCs w:val="22"/>
              </w:rPr>
            </w:pPr>
            <w:r>
              <w:rPr>
                <w:b/>
                <w:bCs/>
                <w:color w:val="000000"/>
                <w:kern w:val="0"/>
                <w:sz w:val="22"/>
                <w:szCs w:val="22"/>
              </w:rPr>
              <w:t>72591</w:t>
            </w:r>
          </w:p>
        </w:tc>
        <w:tc>
          <w:tcPr>
            <w:tcW w:w="1134" w:type="dxa"/>
            <w:tcBorders>
              <w:top w:val="nil"/>
              <w:left w:val="nil"/>
              <w:bottom w:val="nil"/>
              <w:right w:val="single" w:color="000000" w:sz="8" w:space="0"/>
            </w:tcBorders>
            <w:shd w:val="clear" w:color="auto" w:fill="auto"/>
            <w:vAlign w:val="center"/>
          </w:tcPr>
          <w:p>
            <w:pPr>
              <w:widowControl/>
              <w:jc w:val="center"/>
              <w:rPr>
                <w:b/>
                <w:bCs/>
                <w:color w:val="000000"/>
                <w:kern w:val="0"/>
                <w:sz w:val="22"/>
                <w:szCs w:val="22"/>
              </w:rPr>
            </w:pPr>
            <w:r>
              <w:rPr>
                <w:b/>
                <w:bCs/>
                <w:color w:val="000000"/>
                <w:kern w:val="0"/>
                <w:sz w:val="22"/>
                <w:szCs w:val="22"/>
              </w:rPr>
              <w:t>24112.7</w:t>
            </w:r>
          </w:p>
        </w:tc>
        <w:tc>
          <w:tcPr>
            <w:tcW w:w="1134"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63420.4</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b/>
                <w:bCs/>
                <w:color w:val="000000"/>
                <w:kern w:val="0"/>
                <w:szCs w:val="21"/>
              </w:rPr>
            </w:pPr>
            <w:r>
              <w:rPr>
                <w:b/>
                <w:bCs/>
                <w:color w:val="000000"/>
                <w:kern w:val="0"/>
                <w:szCs w:val="21"/>
              </w:rPr>
              <w:t xml:space="preserve">  一、批发业</w:t>
            </w:r>
          </w:p>
        </w:tc>
        <w:tc>
          <w:tcPr>
            <w:tcW w:w="1275" w:type="dxa"/>
            <w:tcBorders>
              <w:top w:val="nil"/>
              <w:left w:val="nil"/>
              <w:bottom w:val="nil"/>
              <w:right w:val="single" w:color="000000" w:sz="8" w:space="0"/>
            </w:tcBorders>
            <w:shd w:val="clear" w:color="auto" w:fill="auto"/>
            <w:vAlign w:val="center"/>
          </w:tcPr>
          <w:p>
            <w:pPr>
              <w:widowControl/>
              <w:jc w:val="center"/>
              <w:rPr>
                <w:b/>
                <w:bCs/>
                <w:color w:val="000000"/>
                <w:kern w:val="0"/>
                <w:sz w:val="22"/>
                <w:szCs w:val="22"/>
              </w:rPr>
            </w:pPr>
            <w:r>
              <w:rPr>
                <w:b/>
                <w:bCs/>
                <w:color w:val="000000"/>
                <w:kern w:val="0"/>
                <w:sz w:val="22"/>
                <w:szCs w:val="22"/>
              </w:rPr>
              <w:t>46087.5</w:t>
            </w:r>
          </w:p>
        </w:tc>
        <w:tc>
          <w:tcPr>
            <w:tcW w:w="1134" w:type="dxa"/>
            <w:tcBorders>
              <w:top w:val="nil"/>
              <w:left w:val="nil"/>
              <w:bottom w:val="nil"/>
              <w:right w:val="single" w:color="000000" w:sz="8" w:space="0"/>
            </w:tcBorders>
            <w:shd w:val="clear" w:color="auto" w:fill="auto"/>
            <w:vAlign w:val="center"/>
          </w:tcPr>
          <w:p>
            <w:pPr>
              <w:widowControl/>
              <w:jc w:val="center"/>
              <w:rPr>
                <w:b/>
                <w:bCs/>
                <w:color w:val="000000"/>
                <w:kern w:val="0"/>
                <w:sz w:val="22"/>
                <w:szCs w:val="22"/>
              </w:rPr>
            </w:pPr>
            <w:r>
              <w:rPr>
                <w:b/>
                <w:bCs/>
                <w:color w:val="000000"/>
                <w:kern w:val="0"/>
                <w:sz w:val="22"/>
                <w:szCs w:val="22"/>
              </w:rPr>
              <w:t>17748.3</w:t>
            </w:r>
          </w:p>
        </w:tc>
        <w:tc>
          <w:tcPr>
            <w:tcW w:w="1134"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20697.3</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农、林、牧、渔产品批发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13743.6</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3253.8</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2248.1</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食品、饮料及烟草制品批发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6937.3</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1628.3</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4608.8</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纺织、服装及家庭用品批发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文化、体育用品及器材批发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7413.3</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7167.3</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328.6</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 xml:space="preserve">    医药及医疗器材批发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5711.1</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139.5</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1812.4</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矿产品、建材及化工产品批发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8821.3</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4740.7</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9876.9</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color w:val="000000"/>
                <w:kern w:val="0"/>
                <w:szCs w:val="21"/>
              </w:rPr>
              <w:t xml:space="preserve"> </w:t>
            </w:r>
            <w:r>
              <w:rPr>
                <w:rFonts w:hint="eastAsia" w:ascii="宋体" w:hAnsi="宋体"/>
                <w:color w:val="000000"/>
                <w:kern w:val="0"/>
                <w:szCs w:val="21"/>
              </w:rPr>
              <w:t>机械设备、五金产品及电子产品批发</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2379.7</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537.5</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1151</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其他批发业</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1081.3</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281.2</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671.5</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b/>
                <w:bCs/>
                <w:color w:val="000000"/>
                <w:kern w:val="0"/>
                <w:szCs w:val="21"/>
              </w:rPr>
            </w:pPr>
            <w:r>
              <w:rPr>
                <w:b/>
                <w:bCs/>
                <w:color w:val="000000"/>
                <w:kern w:val="0"/>
                <w:szCs w:val="21"/>
              </w:rPr>
              <w:t xml:space="preserve">  二、零售业</w:t>
            </w:r>
          </w:p>
        </w:tc>
        <w:tc>
          <w:tcPr>
            <w:tcW w:w="1275" w:type="dxa"/>
            <w:tcBorders>
              <w:top w:val="nil"/>
              <w:left w:val="nil"/>
              <w:bottom w:val="nil"/>
              <w:right w:val="single" w:color="000000" w:sz="8" w:space="0"/>
            </w:tcBorders>
            <w:shd w:val="clear" w:color="auto" w:fill="auto"/>
            <w:vAlign w:val="center"/>
          </w:tcPr>
          <w:p>
            <w:pPr>
              <w:widowControl/>
              <w:jc w:val="center"/>
              <w:rPr>
                <w:b/>
                <w:bCs/>
                <w:color w:val="000000"/>
                <w:kern w:val="0"/>
                <w:sz w:val="22"/>
                <w:szCs w:val="22"/>
              </w:rPr>
            </w:pPr>
            <w:r>
              <w:rPr>
                <w:b/>
                <w:bCs/>
                <w:color w:val="000000"/>
                <w:kern w:val="0"/>
                <w:sz w:val="22"/>
                <w:szCs w:val="22"/>
              </w:rPr>
              <w:t>26503.5</w:t>
            </w:r>
          </w:p>
        </w:tc>
        <w:tc>
          <w:tcPr>
            <w:tcW w:w="1134" w:type="dxa"/>
            <w:tcBorders>
              <w:top w:val="nil"/>
              <w:left w:val="nil"/>
              <w:bottom w:val="nil"/>
              <w:right w:val="single" w:color="000000" w:sz="8" w:space="0"/>
            </w:tcBorders>
            <w:shd w:val="clear" w:color="auto" w:fill="auto"/>
            <w:vAlign w:val="center"/>
          </w:tcPr>
          <w:p>
            <w:pPr>
              <w:widowControl/>
              <w:jc w:val="center"/>
              <w:rPr>
                <w:b/>
                <w:bCs/>
                <w:color w:val="000000"/>
                <w:kern w:val="0"/>
                <w:sz w:val="22"/>
                <w:szCs w:val="22"/>
              </w:rPr>
            </w:pPr>
            <w:r>
              <w:rPr>
                <w:b/>
                <w:bCs/>
                <w:color w:val="000000"/>
                <w:kern w:val="0"/>
                <w:sz w:val="22"/>
                <w:szCs w:val="22"/>
              </w:rPr>
              <w:t>6364.4</w:t>
            </w:r>
          </w:p>
        </w:tc>
        <w:tc>
          <w:tcPr>
            <w:tcW w:w="1134"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42723.1</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综合零售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5814.2</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2630.2</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22818.2</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rFonts w:ascii="Helvetica" w:hAnsi="Helvetica"/>
                <w:color w:val="000000"/>
                <w:kern w:val="0"/>
                <w:szCs w:val="21"/>
              </w:rPr>
              <w:t xml:space="preserve">    </w:t>
            </w:r>
            <w:r>
              <w:rPr>
                <w:rFonts w:hint="eastAsia" w:ascii="Helvetica" w:hAnsi="Helvetica"/>
                <w:color w:val="000000"/>
                <w:kern w:val="0"/>
                <w:szCs w:val="21"/>
              </w:rPr>
              <w:t xml:space="preserve"> </w:t>
            </w:r>
            <w:r>
              <w:rPr>
                <w:rFonts w:hint="eastAsia" w:ascii="宋体" w:hAnsi="宋体"/>
                <w:color w:val="000000"/>
                <w:kern w:val="0"/>
                <w:szCs w:val="21"/>
              </w:rPr>
              <w:t>食品、饮料及烟草制品专门零售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5473</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1358</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2860.9</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rFonts w:ascii="Helvetica" w:hAnsi="Helvetica"/>
                <w:color w:val="000000"/>
                <w:kern w:val="0"/>
                <w:szCs w:val="21"/>
              </w:rPr>
              <w:t>    </w:t>
            </w:r>
            <w:r>
              <w:rPr>
                <w:rFonts w:hint="eastAsia" w:ascii="Helvetica" w:hAnsi="Helvetica"/>
                <w:color w:val="000000"/>
                <w:kern w:val="0"/>
                <w:szCs w:val="21"/>
              </w:rPr>
              <w:t xml:space="preserve">  </w:t>
            </w:r>
            <w:r>
              <w:rPr>
                <w:rFonts w:hint="eastAsia" w:ascii="宋体" w:hAnsi="宋体"/>
                <w:color w:val="000000"/>
                <w:kern w:val="0"/>
                <w:szCs w:val="21"/>
              </w:rPr>
              <w:t>纺织、服装及日用品专门零售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1936</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484.1</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1024.9</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rFonts w:ascii="Helvetica" w:hAnsi="Helvetica"/>
                <w:color w:val="000000"/>
                <w:kern w:val="0"/>
                <w:szCs w:val="21"/>
              </w:rPr>
              <w:t xml:space="preserve">    </w:t>
            </w:r>
            <w:r>
              <w:rPr>
                <w:rFonts w:hint="eastAsia" w:ascii="Helvetica" w:hAnsi="Helvetica"/>
                <w:color w:val="000000"/>
                <w:kern w:val="0"/>
                <w:szCs w:val="21"/>
              </w:rPr>
              <w:t xml:space="preserve"> </w:t>
            </w:r>
            <w:r>
              <w:rPr>
                <w:rFonts w:hint="eastAsia" w:ascii="宋体" w:hAnsi="宋体"/>
                <w:color w:val="000000"/>
                <w:kern w:val="0"/>
                <w:szCs w:val="21"/>
              </w:rPr>
              <w:t>文化、体育用品及器材专门零售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2186.9</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222.6</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1457.9</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rFonts w:ascii="Helvetica" w:hAnsi="Helvetica"/>
                <w:color w:val="000000"/>
                <w:kern w:val="0"/>
                <w:szCs w:val="21"/>
              </w:rPr>
              <w:t xml:space="preserve">    </w:t>
            </w:r>
            <w:r>
              <w:rPr>
                <w:rFonts w:hint="eastAsia" w:ascii="Helvetica" w:hAnsi="Helvetica"/>
                <w:color w:val="000000"/>
                <w:kern w:val="0"/>
                <w:szCs w:val="21"/>
              </w:rPr>
              <w:t xml:space="preserve"> </w:t>
            </w:r>
            <w:r>
              <w:rPr>
                <w:rFonts w:hint="eastAsia" w:ascii="宋体" w:hAnsi="宋体"/>
                <w:color w:val="000000"/>
                <w:kern w:val="0"/>
                <w:szCs w:val="21"/>
              </w:rPr>
              <w:t>医药及医疗器材专门零售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3124.9</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219.7</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3157.5</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ind w:firstLine="420" w:firstLineChars="200"/>
              <w:rPr>
                <w:color w:val="000000"/>
                <w:kern w:val="0"/>
                <w:szCs w:val="21"/>
              </w:rPr>
            </w:pPr>
            <w:r>
              <w:rPr>
                <w:rFonts w:hint="eastAsia" w:ascii="宋体" w:hAnsi="宋体"/>
                <w:color w:val="000000"/>
                <w:kern w:val="0"/>
                <w:szCs w:val="21"/>
              </w:rPr>
              <w:t>汽车、摩托车、零配件和燃料及其他动力销售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1817.7</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362.6</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2765.6</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rFonts w:ascii="Helvetica" w:hAnsi="Helvetica"/>
                <w:color w:val="000000"/>
                <w:kern w:val="0"/>
                <w:szCs w:val="21"/>
              </w:rPr>
              <w:t xml:space="preserve">    </w:t>
            </w:r>
            <w:r>
              <w:rPr>
                <w:rFonts w:hint="eastAsia" w:ascii="Helvetica" w:hAnsi="Helvetica"/>
                <w:color w:val="000000"/>
                <w:kern w:val="0"/>
                <w:szCs w:val="21"/>
              </w:rPr>
              <w:t xml:space="preserve"> </w:t>
            </w:r>
            <w:r>
              <w:rPr>
                <w:rFonts w:hint="eastAsia" w:ascii="宋体" w:hAnsi="宋体"/>
                <w:color w:val="000000"/>
                <w:kern w:val="0"/>
                <w:szCs w:val="21"/>
              </w:rPr>
              <w:t>家用电器及电子产品专门零售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62.8</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6.4</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269.3</w:t>
            </w:r>
          </w:p>
        </w:tc>
      </w:tr>
      <w:tr>
        <w:tblPrEx>
          <w:tblCellMar>
            <w:top w:w="0" w:type="dxa"/>
            <w:left w:w="108" w:type="dxa"/>
            <w:bottom w:w="0" w:type="dxa"/>
            <w:right w:w="108" w:type="dxa"/>
          </w:tblCellMar>
        </w:tblPrEx>
        <w:trPr>
          <w:trHeight w:val="439" w:hRule="atLeast"/>
        </w:trPr>
        <w:tc>
          <w:tcPr>
            <w:tcW w:w="4977"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xml:space="preserve">    </w:t>
            </w:r>
            <w:r>
              <w:rPr>
                <w:rFonts w:hint="eastAsia" w:ascii="宋体" w:hAnsi="宋体"/>
                <w:color w:val="000000"/>
                <w:kern w:val="0"/>
                <w:szCs w:val="21"/>
              </w:rPr>
              <w:t>五金、家具及室内装饰材料专门零售</w:t>
            </w:r>
          </w:p>
        </w:tc>
        <w:tc>
          <w:tcPr>
            <w:tcW w:w="1275"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95</w:t>
            </w:r>
          </w:p>
        </w:tc>
        <w:tc>
          <w:tcPr>
            <w:tcW w:w="1134" w:type="dxa"/>
            <w:tcBorders>
              <w:top w:val="nil"/>
              <w:left w:val="nil"/>
              <w:bottom w:val="nil"/>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38.4</w:t>
            </w:r>
          </w:p>
        </w:tc>
        <w:tc>
          <w:tcPr>
            <w:tcW w:w="113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482.6</w:t>
            </w:r>
          </w:p>
        </w:tc>
      </w:tr>
      <w:tr>
        <w:tblPrEx>
          <w:tblCellMar>
            <w:top w:w="0" w:type="dxa"/>
            <w:left w:w="108" w:type="dxa"/>
            <w:bottom w:w="0" w:type="dxa"/>
            <w:right w:w="108" w:type="dxa"/>
          </w:tblCellMar>
        </w:tblPrEx>
        <w:trPr>
          <w:trHeight w:val="439" w:hRule="atLeast"/>
        </w:trPr>
        <w:tc>
          <w:tcPr>
            <w:tcW w:w="4977" w:type="dxa"/>
            <w:tcBorders>
              <w:top w:val="nil"/>
              <w:left w:val="nil"/>
              <w:bottom w:val="single" w:color="auto" w:sz="12" w:space="0"/>
              <w:right w:val="single" w:color="auto" w:sz="8" w:space="0"/>
            </w:tcBorders>
            <w:shd w:val="clear" w:color="auto" w:fill="auto"/>
            <w:vAlign w:val="center"/>
          </w:tcPr>
          <w:p>
            <w:pPr>
              <w:widowControl/>
              <w:rPr>
                <w:color w:val="000000"/>
                <w:kern w:val="0"/>
                <w:szCs w:val="21"/>
              </w:rPr>
            </w:pPr>
            <w:r>
              <w:rPr>
                <w:rFonts w:ascii="Helvetica" w:hAnsi="Helvetica"/>
                <w:color w:val="000000"/>
                <w:kern w:val="0"/>
                <w:szCs w:val="21"/>
              </w:rPr>
              <w:t xml:space="preserve">    </w:t>
            </w:r>
            <w:r>
              <w:rPr>
                <w:rFonts w:hint="eastAsia" w:ascii="Helvetica" w:hAnsi="Helvetica"/>
                <w:color w:val="000000"/>
                <w:kern w:val="0"/>
                <w:szCs w:val="21"/>
              </w:rPr>
              <w:t xml:space="preserve"> </w:t>
            </w:r>
            <w:r>
              <w:rPr>
                <w:rFonts w:hint="eastAsia" w:ascii="宋体" w:hAnsi="宋体"/>
                <w:color w:val="000000"/>
                <w:kern w:val="0"/>
                <w:szCs w:val="21"/>
              </w:rPr>
              <w:t>货摊、无店铺及其他零售业</w:t>
            </w:r>
          </w:p>
        </w:tc>
        <w:tc>
          <w:tcPr>
            <w:tcW w:w="1275" w:type="dxa"/>
            <w:tcBorders>
              <w:top w:val="nil"/>
              <w:left w:val="nil"/>
              <w:bottom w:val="single" w:color="auto" w:sz="12" w:space="0"/>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5993</w:t>
            </w:r>
          </w:p>
        </w:tc>
        <w:tc>
          <w:tcPr>
            <w:tcW w:w="1134" w:type="dxa"/>
            <w:tcBorders>
              <w:top w:val="nil"/>
              <w:left w:val="nil"/>
              <w:bottom w:val="single" w:color="auto" w:sz="12" w:space="0"/>
              <w:right w:val="single" w:color="000000" w:sz="8" w:space="0"/>
            </w:tcBorders>
            <w:shd w:val="clear" w:color="auto" w:fill="auto"/>
            <w:vAlign w:val="center"/>
          </w:tcPr>
          <w:p>
            <w:pPr>
              <w:widowControl/>
              <w:jc w:val="center"/>
              <w:rPr>
                <w:color w:val="000000"/>
                <w:kern w:val="0"/>
                <w:sz w:val="22"/>
                <w:szCs w:val="22"/>
              </w:rPr>
            </w:pPr>
            <w:r>
              <w:rPr>
                <w:color w:val="000000"/>
                <w:kern w:val="0"/>
                <w:sz w:val="22"/>
                <w:szCs w:val="22"/>
              </w:rPr>
              <w:t>1042.4</w:t>
            </w:r>
          </w:p>
        </w:tc>
        <w:tc>
          <w:tcPr>
            <w:tcW w:w="1134" w:type="dxa"/>
            <w:tcBorders>
              <w:top w:val="nil"/>
              <w:left w:val="nil"/>
              <w:bottom w:val="single" w:color="auto" w:sz="12" w:space="0"/>
              <w:right w:val="nil"/>
            </w:tcBorders>
            <w:shd w:val="clear" w:color="auto" w:fill="auto"/>
            <w:vAlign w:val="center"/>
          </w:tcPr>
          <w:p>
            <w:pPr>
              <w:widowControl/>
              <w:jc w:val="center"/>
              <w:rPr>
                <w:color w:val="000000"/>
                <w:kern w:val="0"/>
                <w:sz w:val="22"/>
                <w:szCs w:val="22"/>
              </w:rPr>
            </w:pPr>
            <w:r>
              <w:rPr>
                <w:color w:val="000000"/>
                <w:kern w:val="0"/>
                <w:sz w:val="22"/>
                <w:szCs w:val="22"/>
              </w:rPr>
              <w:t>7886.2</w:t>
            </w:r>
          </w:p>
        </w:tc>
      </w:tr>
    </w:tbl>
    <w:p>
      <w:pPr>
        <w:widowControl/>
        <w:spacing w:line="600" w:lineRule="exact"/>
        <w:ind w:firstLine="640" w:firstLineChars="200"/>
        <w:jc w:val="left"/>
        <w:rPr>
          <w:rFonts w:eastAsia="黑体"/>
          <w:kern w:val="0"/>
          <w:sz w:val="32"/>
          <w:szCs w:val="32"/>
        </w:rPr>
      </w:pPr>
    </w:p>
    <w:p>
      <w:pPr>
        <w:widowControl/>
        <w:spacing w:line="600" w:lineRule="exact"/>
        <w:ind w:firstLine="640" w:firstLineChars="200"/>
        <w:jc w:val="left"/>
        <w:rPr>
          <w:rFonts w:eastAsia="黑体"/>
          <w:kern w:val="0"/>
          <w:sz w:val="32"/>
          <w:szCs w:val="32"/>
        </w:rPr>
      </w:pPr>
      <w:r>
        <w:rPr>
          <w:rFonts w:eastAsia="黑体"/>
          <w:kern w:val="0"/>
          <w:sz w:val="32"/>
          <w:szCs w:val="32"/>
        </w:rPr>
        <w:t>二、交通运输、仓储和邮政业</w:t>
      </w:r>
    </w:p>
    <w:p>
      <w:pPr>
        <w:widowControl/>
        <w:spacing w:line="600" w:lineRule="exact"/>
        <w:ind w:firstLine="643" w:firstLineChars="200"/>
        <w:rPr>
          <w:rFonts w:eastAsia="楷体_GB2312"/>
          <w:b/>
          <w:kern w:val="0"/>
          <w:sz w:val="32"/>
          <w:szCs w:val="32"/>
        </w:rPr>
      </w:pPr>
      <w:r>
        <w:rPr>
          <w:rFonts w:eastAsia="楷体_GB2312"/>
          <w:b/>
          <w:kern w:val="0"/>
          <w:sz w:val="32"/>
          <w:szCs w:val="32"/>
        </w:rPr>
        <w:t>（一）企业法人单位数和从业人员。</w:t>
      </w:r>
    </w:p>
    <w:p>
      <w:pPr>
        <w:spacing w:line="600" w:lineRule="exact"/>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共有交通运输、仓储和邮政业企业法人单位</w:t>
      </w:r>
      <w:r>
        <w:rPr>
          <w:rFonts w:hint="eastAsia" w:eastAsia="仿宋_GB2312"/>
          <w:kern w:val="0"/>
          <w:sz w:val="32"/>
          <w:szCs w:val="32"/>
        </w:rPr>
        <w:t>39</w:t>
      </w:r>
      <w:r>
        <w:rPr>
          <w:rFonts w:eastAsia="仿宋_GB2312"/>
          <w:kern w:val="0"/>
          <w:sz w:val="32"/>
          <w:szCs w:val="32"/>
        </w:rPr>
        <w:t>个，从业人员</w:t>
      </w:r>
      <w:r>
        <w:rPr>
          <w:rFonts w:hint="eastAsia" w:eastAsia="仿宋_GB2312"/>
          <w:kern w:val="0"/>
          <w:sz w:val="32"/>
          <w:szCs w:val="32"/>
        </w:rPr>
        <w:t>360</w:t>
      </w:r>
      <w:r>
        <w:rPr>
          <w:rFonts w:eastAsia="仿宋_GB2312"/>
          <w:kern w:val="0"/>
          <w:sz w:val="32"/>
          <w:szCs w:val="32"/>
        </w:rPr>
        <w:t>人</w:t>
      </w:r>
      <w:r>
        <w:rPr>
          <w:rFonts w:eastAsia="仿宋_GB2312"/>
          <w:color w:val="000000" w:themeColor="text1"/>
          <w:kern w:val="0"/>
          <w:sz w:val="32"/>
          <w:szCs w:val="32"/>
        </w:rPr>
        <w:t>，分别比2013年末增长</w:t>
      </w:r>
      <w:r>
        <w:rPr>
          <w:rFonts w:hint="eastAsia" w:eastAsia="仿宋_GB2312"/>
          <w:color w:val="000000" w:themeColor="text1"/>
          <w:kern w:val="0"/>
          <w:sz w:val="32"/>
          <w:szCs w:val="32"/>
        </w:rPr>
        <w:t>200</w:t>
      </w:r>
      <w:r>
        <w:rPr>
          <w:rFonts w:eastAsia="仿宋_GB2312"/>
          <w:color w:val="000000" w:themeColor="text1"/>
          <w:kern w:val="0"/>
          <w:sz w:val="32"/>
          <w:szCs w:val="32"/>
        </w:rPr>
        <w:t>%和</w:t>
      </w:r>
      <w:r>
        <w:rPr>
          <w:rFonts w:hint="eastAsia" w:eastAsia="仿宋_GB2312"/>
          <w:color w:val="000000" w:themeColor="text1"/>
          <w:kern w:val="0"/>
          <w:sz w:val="32"/>
          <w:szCs w:val="32"/>
        </w:rPr>
        <w:t>-49.7</w:t>
      </w:r>
      <w:r>
        <w:rPr>
          <w:rFonts w:eastAsia="仿宋_GB2312"/>
          <w:color w:val="000000" w:themeColor="text1"/>
          <w:kern w:val="0"/>
          <w:sz w:val="32"/>
          <w:szCs w:val="32"/>
        </w:rPr>
        <w:t>%</w:t>
      </w:r>
      <w:r>
        <w:rPr>
          <w:rFonts w:eastAsia="仿宋_GB2312"/>
          <w:kern w:val="0"/>
          <w:sz w:val="32"/>
          <w:szCs w:val="32"/>
        </w:rPr>
        <w:t>（详见表4-4）。</w:t>
      </w:r>
    </w:p>
    <w:tbl>
      <w:tblPr>
        <w:tblStyle w:val="4"/>
        <w:tblW w:w="8363" w:type="dxa"/>
        <w:tblInd w:w="250" w:type="dxa"/>
        <w:tblLayout w:type="autofit"/>
        <w:tblCellMar>
          <w:top w:w="0" w:type="dxa"/>
          <w:left w:w="108" w:type="dxa"/>
          <w:bottom w:w="0" w:type="dxa"/>
          <w:right w:w="108" w:type="dxa"/>
        </w:tblCellMar>
      </w:tblPr>
      <w:tblGrid>
        <w:gridCol w:w="4111"/>
        <w:gridCol w:w="2126"/>
        <w:gridCol w:w="2126"/>
      </w:tblGrid>
      <w:tr>
        <w:tblPrEx>
          <w:tblCellMar>
            <w:top w:w="0" w:type="dxa"/>
            <w:left w:w="108" w:type="dxa"/>
            <w:bottom w:w="0" w:type="dxa"/>
            <w:right w:w="108" w:type="dxa"/>
          </w:tblCellMar>
        </w:tblPrEx>
        <w:trPr>
          <w:trHeight w:val="960" w:hRule="atLeast"/>
        </w:trPr>
        <w:tc>
          <w:tcPr>
            <w:tcW w:w="8363" w:type="dxa"/>
            <w:gridSpan w:val="3"/>
            <w:tcBorders>
              <w:top w:val="nil"/>
              <w:left w:val="nil"/>
              <w:bottom w:val="nil"/>
              <w:right w:val="nil"/>
            </w:tcBorders>
            <w:shd w:val="clear" w:color="auto" w:fill="auto"/>
            <w:vAlign w:val="center"/>
          </w:tcPr>
          <w:p>
            <w:pPr>
              <w:widowControl/>
              <w:jc w:val="center"/>
              <w:rPr>
                <w:rFonts w:ascii="宋体" w:hAnsi="宋体" w:cs="宋体"/>
                <w:b/>
                <w:color w:val="000000"/>
                <w:kern w:val="0"/>
                <w:sz w:val="24"/>
              </w:rPr>
            </w:pPr>
            <w:r>
              <w:rPr>
                <w:rFonts w:hint="eastAsia" w:ascii="宋体" w:hAnsi="宋体" w:cs="宋体"/>
                <w:b/>
                <w:color w:val="000000"/>
                <w:kern w:val="0"/>
                <w:sz w:val="24"/>
              </w:rPr>
              <w:t>表4-4　按行业大类分组的交通运输、仓储和邮政业企业法人单位和从业人员</w:t>
            </w:r>
          </w:p>
        </w:tc>
      </w:tr>
      <w:tr>
        <w:tblPrEx>
          <w:tblCellMar>
            <w:top w:w="0" w:type="dxa"/>
            <w:left w:w="108" w:type="dxa"/>
            <w:bottom w:w="0" w:type="dxa"/>
            <w:right w:w="108" w:type="dxa"/>
          </w:tblCellMar>
        </w:tblPrEx>
        <w:trPr>
          <w:trHeight w:val="485" w:hRule="atLeast"/>
        </w:trPr>
        <w:tc>
          <w:tcPr>
            <w:tcW w:w="4111" w:type="dxa"/>
            <w:vMerge w:val="restart"/>
            <w:tcBorders>
              <w:top w:val="single" w:color="000000" w:sz="12" w:space="0"/>
              <w:left w:val="nil"/>
              <w:bottom w:val="single" w:color="000000" w:sz="8" w:space="0"/>
              <w:right w:val="single" w:color="000000" w:sz="8" w:space="0"/>
            </w:tcBorders>
            <w:shd w:val="clear" w:color="auto" w:fill="auto"/>
            <w:vAlign w:val="center"/>
          </w:tcPr>
          <w:p>
            <w:pPr>
              <w:widowControl/>
              <w:jc w:val="center"/>
              <w:rPr>
                <w:color w:val="000000"/>
                <w:kern w:val="0"/>
                <w:sz w:val="24"/>
              </w:rPr>
            </w:pPr>
            <w:r>
              <w:rPr>
                <w:color w:val="000000"/>
                <w:kern w:val="0"/>
                <w:sz w:val="24"/>
              </w:rPr>
              <w:t> </w:t>
            </w:r>
            <w:r>
              <w:rPr>
                <w:rFonts w:hint="eastAsia" w:ascii="宋体" w:hAnsi="宋体"/>
                <w:color w:val="000000"/>
                <w:kern w:val="0"/>
                <w:sz w:val="24"/>
              </w:rPr>
              <w:t>　</w:t>
            </w:r>
          </w:p>
        </w:tc>
        <w:tc>
          <w:tcPr>
            <w:tcW w:w="2126" w:type="dxa"/>
            <w:tcBorders>
              <w:top w:val="single" w:color="000000" w:sz="12" w:space="0"/>
              <w:left w:val="nil"/>
              <w:bottom w:val="nil"/>
              <w:right w:val="single" w:color="000000"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企业法人单位</w:t>
            </w:r>
          </w:p>
        </w:tc>
        <w:tc>
          <w:tcPr>
            <w:tcW w:w="2126" w:type="dxa"/>
            <w:tcBorders>
              <w:top w:val="single" w:color="000000" w:sz="12" w:space="0"/>
              <w:left w:val="nil"/>
              <w:bottom w:val="nil"/>
              <w:right w:val="nil"/>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从业人员</w:t>
            </w:r>
          </w:p>
        </w:tc>
      </w:tr>
      <w:tr>
        <w:tblPrEx>
          <w:tblCellMar>
            <w:top w:w="0" w:type="dxa"/>
            <w:left w:w="108" w:type="dxa"/>
            <w:bottom w:w="0" w:type="dxa"/>
            <w:right w:w="108" w:type="dxa"/>
          </w:tblCellMar>
        </w:tblPrEx>
        <w:trPr>
          <w:trHeight w:val="407" w:hRule="atLeast"/>
        </w:trPr>
        <w:tc>
          <w:tcPr>
            <w:tcW w:w="4111" w:type="dxa"/>
            <w:vMerge w:val="continue"/>
            <w:tcBorders>
              <w:top w:val="single" w:color="000000" w:sz="12" w:space="0"/>
              <w:left w:val="nil"/>
              <w:bottom w:val="single" w:color="000000" w:sz="8" w:space="0"/>
              <w:right w:val="single" w:color="000000" w:sz="8" w:space="0"/>
            </w:tcBorders>
            <w:vAlign w:val="center"/>
          </w:tcPr>
          <w:p>
            <w:pPr>
              <w:widowControl/>
              <w:jc w:val="left"/>
              <w:rPr>
                <w:color w:val="000000"/>
                <w:kern w:val="0"/>
                <w:sz w:val="24"/>
              </w:rPr>
            </w:pPr>
          </w:p>
        </w:tc>
        <w:tc>
          <w:tcPr>
            <w:tcW w:w="212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（个）</w:t>
            </w:r>
          </w:p>
        </w:tc>
        <w:tc>
          <w:tcPr>
            <w:tcW w:w="2126" w:type="dxa"/>
            <w:tcBorders>
              <w:top w:val="nil"/>
              <w:left w:val="nil"/>
              <w:bottom w:val="single" w:color="000000" w:sz="8" w:space="0"/>
              <w:right w:val="nil"/>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（人）</w:t>
            </w:r>
          </w:p>
        </w:tc>
      </w:tr>
      <w:tr>
        <w:tblPrEx>
          <w:tblCellMar>
            <w:top w:w="0" w:type="dxa"/>
            <w:left w:w="108" w:type="dxa"/>
            <w:bottom w:w="0" w:type="dxa"/>
            <w:right w:w="108" w:type="dxa"/>
          </w:tblCellMar>
        </w:tblPrEx>
        <w:trPr>
          <w:trHeight w:val="270" w:hRule="atLeast"/>
        </w:trPr>
        <w:tc>
          <w:tcPr>
            <w:tcW w:w="4111" w:type="dxa"/>
            <w:tcBorders>
              <w:top w:val="nil"/>
              <w:left w:val="nil"/>
              <w:bottom w:val="nil"/>
              <w:right w:val="single" w:color="000000" w:sz="8"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合　计</w:t>
            </w:r>
          </w:p>
        </w:tc>
        <w:tc>
          <w:tcPr>
            <w:tcW w:w="2126" w:type="dxa"/>
            <w:tcBorders>
              <w:top w:val="nil"/>
              <w:left w:val="nil"/>
              <w:bottom w:val="nil"/>
              <w:right w:val="single" w:color="auto"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39</w:t>
            </w:r>
          </w:p>
        </w:tc>
        <w:tc>
          <w:tcPr>
            <w:tcW w:w="2126" w:type="dxa"/>
            <w:tcBorders>
              <w:top w:val="nil"/>
              <w:left w:val="nil"/>
              <w:bottom w:val="nil"/>
              <w:right w:val="nil"/>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360</w:t>
            </w:r>
          </w:p>
        </w:tc>
      </w:tr>
      <w:tr>
        <w:tblPrEx>
          <w:tblCellMar>
            <w:top w:w="0" w:type="dxa"/>
            <w:left w:w="108" w:type="dxa"/>
            <w:bottom w:w="0" w:type="dxa"/>
            <w:right w:w="108" w:type="dxa"/>
          </w:tblCellMar>
        </w:tblPrEx>
        <w:trPr>
          <w:trHeight w:val="480" w:hRule="atLeast"/>
        </w:trPr>
        <w:tc>
          <w:tcPr>
            <w:tcW w:w="4111" w:type="dxa"/>
            <w:tcBorders>
              <w:top w:val="nil"/>
              <w:left w:val="nil"/>
              <w:bottom w:val="nil"/>
              <w:right w:val="single" w:color="000000"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道路运输业</w:t>
            </w:r>
          </w:p>
        </w:tc>
        <w:tc>
          <w:tcPr>
            <w:tcW w:w="2126"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32</w:t>
            </w:r>
          </w:p>
        </w:tc>
        <w:tc>
          <w:tcPr>
            <w:tcW w:w="2126" w:type="dxa"/>
            <w:tcBorders>
              <w:top w:val="nil"/>
              <w:left w:val="nil"/>
              <w:bottom w:val="nil"/>
              <w:right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277</w:t>
            </w:r>
          </w:p>
        </w:tc>
      </w:tr>
      <w:tr>
        <w:tblPrEx>
          <w:tblCellMar>
            <w:top w:w="0" w:type="dxa"/>
            <w:left w:w="108" w:type="dxa"/>
            <w:bottom w:w="0" w:type="dxa"/>
            <w:right w:w="108" w:type="dxa"/>
          </w:tblCellMar>
        </w:tblPrEx>
        <w:trPr>
          <w:trHeight w:val="461" w:hRule="atLeast"/>
        </w:trPr>
        <w:tc>
          <w:tcPr>
            <w:tcW w:w="4111" w:type="dxa"/>
            <w:tcBorders>
              <w:top w:val="nil"/>
              <w:left w:val="nil"/>
              <w:bottom w:val="nil"/>
              <w:right w:val="single" w:color="000000"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水上运输业</w:t>
            </w:r>
          </w:p>
        </w:tc>
        <w:tc>
          <w:tcPr>
            <w:tcW w:w="2126"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2126" w:type="dxa"/>
            <w:tcBorders>
              <w:top w:val="nil"/>
              <w:left w:val="nil"/>
              <w:bottom w:val="nil"/>
              <w:right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49</w:t>
            </w:r>
          </w:p>
        </w:tc>
      </w:tr>
      <w:tr>
        <w:tblPrEx>
          <w:tblCellMar>
            <w:top w:w="0" w:type="dxa"/>
            <w:left w:w="108" w:type="dxa"/>
            <w:bottom w:w="0" w:type="dxa"/>
            <w:right w:w="108" w:type="dxa"/>
          </w:tblCellMar>
        </w:tblPrEx>
        <w:trPr>
          <w:trHeight w:val="439" w:hRule="atLeast"/>
        </w:trPr>
        <w:tc>
          <w:tcPr>
            <w:tcW w:w="4111" w:type="dxa"/>
            <w:tcBorders>
              <w:top w:val="nil"/>
              <w:left w:val="nil"/>
              <w:bottom w:val="nil"/>
              <w:right w:val="single" w:color="000000"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航空运输业</w:t>
            </w:r>
          </w:p>
        </w:tc>
        <w:tc>
          <w:tcPr>
            <w:tcW w:w="2126"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2126" w:type="dxa"/>
            <w:tcBorders>
              <w:top w:val="nil"/>
              <w:left w:val="nil"/>
              <w:bottom w:val="nil"/>
              <w:right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r>
      <w:tr>
        <w:tblPrEx>
          <w:tblCellMar>
            <w:top w:w="0" w:type="dxa"/>
            <w:left w:w="108" w:type="dxa"/>
            <w:bottom w:w="0" w:type="dxa"/>
            <w:right w:w="108" w:type="dxa"/>
          </w:tblCellMar>
        </w:tblPrEx>
        <w:trPr>
          <w:trHeight w:val="417" w:hRule="atLeast"/>
        </w:trPr>
        <w:tc>
          <w:tcPr>
            <w:tcW w:w="4111" w:type="dxa"/>
            <w:tcBorders>
              <w:top w:val="nil"/>
              <w:left w:val="nil"/>
              <w:bottom w:val="nil"/>
              <w:right w:val="single" w:color="000000"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多式联运和运输代理业</w:t>
            </w:r>
          </w:p>
        </w:tc>
        <w:tc>
          <w:tcPr>
            <w:tcW w:w="2126"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2126" w:type="dxa"/>
            <w:tcBorders>
              <w:top w:val="nil"/>
              <w:left w:val="nil"/>
              <w:bottom w:val="nil"/>
              <w:right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r>
      <w:tr>
        <w:tblPrEx>
          <w:tblCellMar>
            <w:top w:w="0" w:type="dxa"/>
            <w:left w:w="108" w:type="dxa"/>
            <w:bottom w:w="0" w:type="dxa"/>
            <w:right w:w="108" w:type="dxa"/>
          </w:tblCellMar>
        </w:tblPrEx>
        <w:trPr>
          <w:trHeight w:val="270" w:hRule="atLeast"/>
        </w:trPr>
        <w:tc>
          <w:tcPr>
            <w:tcW w:w="4111" w:type="dxa"/>
            <w:tcBorders>
              <w:top w:val="nil"/>
              <w:left w:val="nil"/>
              <w:bottom w:val="nil"/>
              <w:right w:val="single" w:color="000000"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装卸搬运和仓储业</w:t>
            </w:r>
          </w:p>
        </w:tc>
        <w:tc>
          <w:tcPr>
            <w:tcW w:w="2126"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c>
          <w:tcPr>
            <w:tcW w:w="2126" w:type="dxa"/>
            <w:tcBorders>
              <w:top w:val="nil"/>
              <w:left w:val="nil"/>
              <w:bottom w:val="nil"/>
              <w:right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w:t>
            </w:r>
          </w:p>
        </w:tc>
      </w:tr>
      <w:tr>
        <w:tblPrEx>
          <w:tblCellMar>
            <w:top w:w="0" w:type="dxa"/>
            <w:left w:w="108" w:type="dxa"/>
            <w:bottom w:w="0" w:type="dxa"/>
            <w:right w:w="108" w:type="dxa"/>
          </w:tblCellMar>
        </w:tblPrEx>
        <w:trPr>
          <w:trHeight w:val="493" w:hRule="atLeast"/>
        </w:trPr>
        <w:tc>
          <w:tcPr>
            <w:tcW w:w="4111" w:type="dxa"/>
            <w:tcBorders>
              <w:top w:val="nil"/>
              <w:left w:val="nil"/>
              <w:bottom w:val="single" w:color="auto" w:sz="8" w:space="0"/>
              <w:right w:val="single" w:color="000000"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邮政业</w:t>
            </w:r>
          </w:p>
        </w:tc>
        <w:tc>
          <w:tcPr>
            <w:tcW w:w="212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2126" w:type="dxa"/>
            <w:tcBorders>
              <w:top w:val="nil"/>
              <w:left w:val="nil"/>
              <w:bottom w:val="single" w:color="auto" w:sz="8" w:space="0"/>
              <w:right w:val="nil"/>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34</w:t>
            </w:r>
          </w:p>
        </w:tc>
      </w:tr>
    </w:tbl>
    <w:p>
      <w:pPr>
        <w:widowControl/>
        <w:spacing w:line="620" w:lineRule="exact"/>
        <w:ind w:firstLine="643" w:firstLineChars="200"/>
        <w:rPr>
          <w:rFonts w:eastAsia="楷体_GB2312"/>
          <w:b/>
          <w:kern w:val="0"/>
          <w:sz w:val="32"/>
          <w:szCs w:val="32"/>
        </w:rPr>
      </w:pPr>
      <w:r>
        <w:rPr>
          <w:rFonts w:eastAsia="楷体_GB2312"/>
          <w:b/>
          <w:kern w:val="0"/>
          <w:sz w:val="32"/>
          <w:szCs w:val="32"/>
        </w:rPr>
        <w:t>（二）主要经济指标。</w:t>
      </w:r>
    </w:p>
    <w:p>
      <w:pPr>
        <w:widowControl/>
        <w:spacing w:line="620" w:lineRule="exact"/>
        <w:ind w:firstLine="640" w:firstLineChars="200"/>
        <w:rPr>
          <w:rFonts w:eastAsia="仿宋_GB2312"/>
          <w:kern w:val="0"/>
          <w:sz w:val="32"/>
          <w:szCs w:val="32"/>
        </w:rPr>
      </w:pPr>
      <w:r>
        <w:rPr>
          <w:rFonts w:eastAsia="仿宋_GB2312"/>
          <w:kern w:val="0"/>
          <w:sz w:val="32"/>
          <w:szCs w:val="32"/>
        </w:rPr>
        <w:t>2018年末，交通运输、仓储和邮政业企业法人单位资产总计</w:t>
      </w:r>
      <w:r>
        <w:rPr>
          <w:rFonts w:hint="eastAsia" w:eastAsia="仿宋_GB2312"/>
          <w:kern w:val="0"/>
          <w:sz w:val="32"/>
          <w:szCs w:val="32"/>
        </w:rPr>
        <w:t>19736.1</w:t>
      </w:r>
      <w:r>
        <w:rPr>
          <w:rFonts w:eastAsia="仿宋_GB2312"/>
          <w:kern w:val="0"/>
          <w:sz w:val="32"/>
          <w:szCs w:val="32"/>
        </w:rPr>
        <w:t>万元，</w:t>
      </w:r>
      <w:r>
        <w:rPr>
          <w:rFonts w:eastAsia="仿宋_GB2312"/>
          <w:color w:val="000000" w:themeColor="text1"/>
          <w:kern w:val="0"/>
          <w:sz w:val="32"/>
          <w:szCs w:val="32"/>
        </w:rPr>
        <w:t>比2013年末增长</w:t>
      </w:r>
      <w:r>
        <w:rPr>
          <w:rFonts w:hint="eastAsia" w:eastAsia="仿宋_GB2312"/>
          <w:color w:val="000000" w:themeColor="text1"/>
          <w:kern w:val="0"/>
          <w:sz w:val="32"/>
          <w:szCs w:val="32"/>
        </w:rPr>
        <w:t>298.6</w:t>
      </w:r>
      <w:r>
        <w:rPr>
          <w:rFonts w:eastAsia="仿宋_GB2312"/>
          <w:color w:val="000000" w:themeColor="text1"/>
          <w:kern w:val="0"/>
          <w:sz w:val="32"/>
          <w:szCs w:val="32"/>
        </w:rPr>
        <w:t>%。</w:t>
      </w:r>
      <w:r>
        <w:rPr>
          <w:rFonts w:eastAsia="仿宋_GB2312"/>
          <w:kern w:val="0"/>
          <w:sz w:val="32"/>
          <w:szCs w:val="32"/>
        </w:rPr>
        <w:t>负债合计</w:t>
      </w:r>
      <w:r>
        <w:rPr>
          <w:rFonts w:hint="eastAsia" w:eastAsia="仿宋_GB2312"/>
          <w:kern w:val="0"/>
          <w:sz w:val="32"/>
          <w:szCs w:val="32"/>
        </w:rPr>
        <w:t>17404.7</w:t>
      </w:r>
      <w:r>
        <w:rPr>
          <w:rFonts w:eastAsia="仿宋_GB2312"/>
          <w:kern w:val="0"/>
          <w:sz w:val="32"/>
          <w:szCs w:val="32"/>
        </w:rPr>
        <w:t>万元。全年实现营业收入</w:t>
      </w:r>
      <w:r>
        <w:rPr>
          <w:rFonts w:hint="eastAsia" w:eastAsia="仿宋_GB2312"/>
          <w:kern w:val="0"/>
          <w:sz w:val="32"/>
          <w:szCs w:val="32"/>
        </w:rPr>
        <w:t>6199.8</w:t>
      </w:r>
      <w:r>
        <w:rPr>
          <w:rFonts w:eastAsia="仿宋_GB2312"/>
          <w:kern w:val="0"/>
          <w:sz w:val="32"/>
          <w:szCs w:val="32"/>
        </w:rPr>
        <w:t>万元（详见表4-5）。</w:t>
      </w:r>
    </w:p>
    <w:tbl>
      <w:tblPr>
        <w:tblStyle w:val="4"/>
        <w:tblW w:w="8662" w:type="dxa"/>
        <w:tblInd w:w="93" w:type="dxa"/>
        <w:tblLayout w:type="autofit"/>
        <w:tblCellMar>
          <w:top w:w="0" w:type="dxa"/>
          <w:left w:w="108" w:type="dxa"/>
          <w:bottom w:w="0" w:type="dxa"/>
          <w:right w:w="108" w:type="dxa"/>
        </w:tblCellMar>
      </w:tblPr>
      <w:tblGrid>
        <w:gridCol w:w="2992"/>
        <w:gridCol w:w="1985"/>
        <w:gridCol w:w="1984"/>
        <w:gridCol w:w="1701"/>
      </w:tblGrid>
      <w:tr>
        <w:tblPrEx>
          <w:tblCellMar>
            <w:top w:w="0" w:type="dxa"/>
            <w:left w:w="108" w:type="dxa"/>
            <w:bottom w:w="0" w:type="dxa"/>
            <w:right w:w="108" w:type="dxa"/>
          </w:tblCellMar>
        </w:tblPrEx>
        <w:trPr>
          <w:trHeight w:val="900" w:hRule="atLeast"/>
        </w:trPr>
        <w:tc>
          <w:tcPr>
            <w:tcW w:w="8662" w:type="dxa"/>
            <w:gridSpan w:val="4"/>
            <w:tcBorders>
              <w:top w:val="nil"/>
              <w:left w:val="nil"/>
              <w:bottom w:val="single" w:color="auto" w:sz="12" w:space="0"/>
              <w:right w:val="nil"/>
            </w:tcBorders>
            <w:shd w:val="clear" w:color="auto" w:fill="auto"/>
            <w:vAlign w:val="center"/>
          </w:tcPr>
          <w:p>
            <w:pPr>
              <w:widowControl/>
              <w:jc w:val="center"/>
              <w:rPr>
                <w:b/>
                <w:bCs/>
                <w:color w:val="000000"/>
                <w:kern w:val="0"/>
                <w:sz w:val="24"/>
              </w:rPr>
            </w:pPr>
            <w:r>
              <w:rPr>
                <w:b/>
                <w:bCs/>
                <w:color w:val="000000"/>
                <w:kern w:val="0"/>
                <w:sz w:val="24"/>
              </w:rPr>
              <w:t>表4-5</w:t>
            </w:r>
            <w:r>
              <w:rPr>
                <w:rFonts w:hint="eastAsia" w:ascii="宋体" w:hAnsi="宋体"/>
                <w:b/>
                <w:bCs/>
                <w:color w:val="000000"/>
                <w:kern w:val="0"/>
                <w:sz w:val="24"/>
              </w:rPr>
              <w:t>　按行业大类分组的交通运输、仓储和邮政业企业法人单位主要经济指标</w:t>
            </w:r>
          </w:p>
        </w:tc>
      </w:tr>
      <w:tr>
        <w:tblPrEx>
          <w:tblCellMar>
            <w:top w:w="0" w:type="dxa"/>
            <w:left w:w="108" w:type="dxa"/>
            <w:bottom w:w="0" w:type="dxa"/>
            <w:right w:w="108" w:type="dxa"/>
          </w:tblCellMar>
        </w:tblPrEx>
        <w:trPr>
          <w:trHeight w:val="480" w:hRule="atLeast"/>
        </w:trPr>
        <w:tc>
          <w:tcPr>
            <w:tcW w:w="2992" w:type="dxa"/>
            <w:vMerge w:val="restart"/>
            <w:tcBorders>
              <w:top w:val="nil"/>
              <w:left w:val="nil"/>
              <w:bottom w:val="single" w:color="auto" w:sz="8" w:space="0"/>
              <w:right w:val="single" w:color="auto" w:sz="12" w:space="0"/>
            </w:tcBorders>
            <w:shd w:val="clear" w:color="auto" w:fill="auto"/>
            <w:vAlign w:val="center"/>
          </w:tcPr>
          <w:p>
            <w:pPr>
              <w:widowControl/>
              <w:rPr>
                <w:b/>
                <w:bCs/>
                <w:color w:val="000000"/>
                <w:kern w:val="0"/>
                <w:sz w:val="18"/>
                <w:szCs w:val="18"/>
              </w:rPr>
            </w:pPr>
            <w:r>
              <w:rPr>
                <w:b/>
                <w:bCs/>
                <w:color w:val="000000"/>
                <w:kern w:val="0"/>
                <w:sz w:val="18"/>
                <w:szCs w:val="18"/>
              </w:rPr>
              <w:t>　</w:t>
            </w:r>
          </w:p>
        </w:tc>
        <w:tc>
          <w:tcPr>
            <w:tcW w:w="1985"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资产总计</w:t>
            </w:r>
          </w:p>
        </w:tc>
        <w:tc>
          <w:tcPr>
            <w:tcW w:w="1984"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负债合计</w:t>
            </w:r>
          </w:p>
        </w:tc>
        <w:tc>
          <w:tcPr>
            <w:tcW w:w="1701"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营业收入</w:t>
            </w:r>
          </w:p>
        </w:tc>
      </w:tr>
      <w:tr>
        <w:tblPrEx>
          <w:tblCellMar>
            <w:top w:w="0" w:type="dxa"/>
            <w:left w:w="108" w:type="dxa"/>
            <w:bottom w:w="0" w:type="dxa"/>
            <w:right w:w="108" w:type="dxa"/>
          </w:tblCellMar>
        </w:tblPrEx>
        <w:trPr>
          <w:trHeight w:val="379" w:hRule="atLeast"/>
        </w:trPr>
        <w:tc>
          <w:tcPr>
            <w:tcW w:w="2992" w:type="dxa"/>
            <w:vMerge w:val="continue"/>
            <w:tcBorders>
              <w:top w:val="nil"/>
              <w:left w:val="nil"/>
              <w:bottom w:val="single" w:color="auto" w:sz="8" w:space="0"/>
              <w:right w:val="single" w:color="auto" w:sz="12" w:space="0"/>
            </w:tcBorders>
            <w:vAlign w:val="center"/>
          </w:tcPr>
          <w:p>
            <w:pPr>
              <w:widowControl/>
              <w:jc w:val="left"/>
              <w:rPr>
                <w:b/>
                <w:bCs/>
                <w:color w:val="000000"/>
                <w:kern w:val="0"/>
                <w:sz w:val="18"/>
                <w:szCs w:val="18"/>
              </w:rPr>
            </w:pPr>
          </w:p>
        </w:tc>
        <w:tc>
          <w:tcPr>
            <w:tcW w:w="1985" w:type="dxa"/>
            <w:tcBorders>
              <w:top w:val="nil"/>
              <w:left w:val="nil"/>
              <w:bottom w:val="single" w:color="000000"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984" w:type="dxa"/>
            <w:tcBorders>
              <w:top w:val="nil"/>
              <w:left w:val="nil"/>
              <w:bottom w:val="single" w:color="000000"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701" w:type="dxa"/>
            <w:tcBorders>
              <w:top w:val="nil"/>
              <w:left w:val="nil"/>
              <w:bottom w:val="single" w:color="000000" w:sz="8" w:space="0"/>
              <w:right w:val="nil"/>
            </w:tcBorders>
            <w:shd w:val="clear" w:color="auto" w:fill="auto"/>
            <w:vAlign w:val="center"/>
          </w:tcPr>
          <w:p>
            <w:pPr>
              <w:widowControl/>
              <w:jc w:val="center"/>
              <w:rPr>
                <w:b/>
                <w:bCs/>
                <w:color w:val="000000"/>
                <w:kern w:val="0"/>
                <w:szCs w:val="21"/>
              </w:rPr>
            </w:pPr>
            <w:r>
              <w:rPr>
                <w:b/>
                <w:bCs/>
                <w:color w:val="000000"/>
                <w:kern w:val="0"/>
                <w:szCs w:val="21"/>
              </w:rPr>
              <w:t>（万元）</w:t>
            </w:r>
          </w:p>
        </w:tc>
      </w:tr>
      <w:tr>
        <w:tblPrEx>
          <w:tblCellMar>
            <w:top w:w="0" w:type="dxa"/>
            <w:left w:w="108" w:type="dxa"/>
            <w:bottom w:w="0" w:type="dxa"/>
            <w:right w:w="108" w:type="dxa"/>
          </w:tblCellMar>
        </w:tblPrEx>
        <w:trPr>
          <w:trHeight w:val="420" w:hRule="atLeast"/>
        </w:trPr>
        <w:tc>
          <w:tcPr>
            <w:tcW w:w="2992"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985" w:type="dxa"/>
            <w:tcBorders>
              <w:top w:val="nil"/>
              <w:left w:val="nil"/>
              <w:bottom w:val="nil"/>
              <w:right w:val="single" w:color="auto" w:sz="12"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xml:space="preserve">19736.1 </w:t>
            </w:r>
          </w:p>
        </w:tc>
        <w:tc>
          <w:tcPr>
            <w:tcW w:w="1984" w:type="dxa"/>
            <w:tcBorders>
              <w:top w:val="nil"/>
              <w:left w:val="nil"/>
              <w:bottom w:val="nil"/>
              <w:right w:val="single" w:color="auto" w:sz="12" w:space="0"/>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xml:space="preserve">17404.7 </w:t>
            </w:r>
          </w:p>
        </w:tc>
        <w:tc>
          <w:tcPr>
            <w:tcW w:w="1701" w:type="dxa"/>
            <w:tcBorders>
              <w:top w:val="nil"/>
              <w:left w:val="nil"/>
              <w:bottom w:val="nil"/>
              <w:right w:val="nil"/>
            </w:tcBorders>
            <w:shd w:val="clear" w:color="auto" w:fill="auto"/>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 xml:space="preserve">6199.8 </w:t>
            </w:r>
          </w:p>
        </w:tc>
      </w:tr>
      <w:tr>
        <w:tblPrEx>
          <w:tblCellMar>
            <w:top w:w="0" w:type="dxa"/>
            <w:left w:w="108" w:type="dxa"/>
            <w:bottom w:w="0" w:type="dxa"/>
            <w:right w:w="108" w:type="dxa"/>
          </w:tblCellMar>
        </w:tblPrEx>
        <w:trPr>
          <w:trHeight w:val="420" w:hRule="atLeast"/>
        </w:trPr>
        <w:tc>
          <w:tcPr>
            <w:tcW w:w="2992"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道路运输业</w:t>
            </w:r>
          </w:p>
        </w:tc>
        <w:tc>
          <w:tcPr>
            <w:tcW w:w="1985"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xml:space="preserve">19510.0 </w:t>
            </w:r>
          </w:p>
        </w:tc>
        <w:tc>
          <w:tcPr>
            <w:tcW w:w="1984"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xml:space="preserve">17362.0 </w:t>
            </w:r>
          </w:p>
        </w:tc>
        <w:tc>
          <w:tcPr>
            <w:tcW w:w="1701"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xml:space="preserve">5631.0 </w:t>
            </w:r>
          </w:p>
        </w:tc>
      </w:tr>
      <w:tr>
        <w:tblPrEx>
          <w:tblCellMar>
            <w:top w:w="0" w:type="dxa"/>
            <w:left w:w="108" w:type="dxa"/>
            <w:bottom w:w="0" w:type="dxa"/>
            <w:right w:w="108" w:type="dxa"/>
          </w:tblCellMar>
        </w:tblPrEx>
        <w:trPr>
          <w:trHeight w:val="420" w:hRule="atLeast"/>
        </w:trPr>
        <w:tc>
          <w:tcPr>
            <w:tcW w:w="2992"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水上运输业</w:t>
            </w:r>
          </w:p>
        </w:tc>
        <w:tc>
          <w:tcPr>
            <w:tcW w:w="1985"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103.9 </w:t>
            </w:r>
          </w:p>
        </w:tc>
        <w:tc>
          <w:tcPr>
            <w:tcW w:w="1984"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c>
          <w:tcPr>
            <w:tcW w:w="1701"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259.0 </w:t>
            </w:r>
          </w:p>
        </w:tc>
      </w:tr>
      <w:tr>
        <w:tblPrEx>
          <w:tblCellMar>
            <w:top w:w="0" w:type="dxa"/>
            <w:left w:w="108" w:type="dxa"/>
            <w:bottom w:w="0" w:type="dxa"/>
            <w:right w:w="108" w:type="dxa"/>
          </w:tblCellMar>
        </w:tblPrEx>
        <w:trPr>
          <w:trHeight w:val="420" w:hRule="atLeast"/>
        </w:trPr>
        <w:tc>
          <w:tcPr>
            <w:tcW w:w="2992"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航空运输业</w:t>
            </w:r>
          </w:p>
        </w:tc>
        <w:tc>
          <w:tcPr>
            <w:tcW w:w="1985" w:type="dxa"/>
            <w:tcBorders>
              <w:top w:val="nil"/>
              <w:left w:val="nil"/>
              <w:bottom w:val="nil"/>
              <w:right w:val="single" w:color="auto" w:sz="12"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984" w:type="dxa"/>
            <w:tcBorders>
              <w:top w:val="nil"/>
              <w:left w:val="nil"/>
              <w:bottom w:val="nil"/>
              <w:right w:val="single" w:color="auto" w:sz="12"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701"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420" w:hRule="atLeast"/>
        </w:trPr>
        <w:tc>
          <w:tcPr>
            <w:tcW w:w="2992"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多式联运和运输代理业</w:t>
            </w:r>
          </w:p>
        </w:tc>
        <w:tc>
          <w:tcPr>
            <w:tcW w:w="1985" w:type="dxa"/>
            <w:tcBorders>
              <w:top w:val="nil"/>
              <w:left w:val="nil"/>
              <w:bottom w:val="nil"/>
              <w:right w:val="single" w:color="auto" w:sz="12"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984" w:type="dxa"/>
            <w:tcBorders>
              <w:top w:val="nil"/>
              <w:left w:val="nil"/>
              <w:bottom w:val="nil"/>
              <w:right w:val="single" w:color="auto" w:sz="12"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701"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420" w:hRule="atLeast"/>
        </w:trPr>
        <w:tc>
          <w:tcPr>
            <w:tcW w:w="2992"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装卸搬运和仓储业</w:t>
            </w:r>
          </w:p>
        </w:tc>
        <w:tc>
          <w:tcPr>
            <w:tcW w:w="1985" w:type="dxa"/>
            <w:tcBorders>
              <w:top w:val="nil"/>
              <w:left w:val="nil"/>
              <w:bottom w:val="nil"/>
              <w:right w:val="single" w:color="auto" w:sz="12"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984" w:type="dxa"/>
            <w:tcBorders>
              <w:top w:val="nil"/>
              <w:left w:val="nil"/>
              <w:bottom w:val="nil"/>
              <w:right w:val="single" w:color="auto" w:sz="12"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701"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420" w:hRule="atLeast"/>
        </w:trPr>
        <w:tc>
          <w:tcPr>
            <w:tcW w:w="2992" w:type="dxa"/>
            <w:tcBorders>
              <w:top w:val="nil"/>
              <w:left w:val="nil"/>
              <w:bottom w:val="single" w:color="auto" w:sz="12" w:space="0"/>
              <w:right w:val="single" w:color="auto" w:sz="12" w:space="0"/>
            </w:tcBorders>
            <w:shd w:val="clear" w:color="auto" w:fill="auto"/>
            <w:vAlign w:val="center"/>
          </w:tcPr>
          <w:p>
            <w:pPr>
              <w:widowControl/>
              <w:rPr>
                <w:color w:val="000000"/>
                <w:kern w:val="0"/>
                <w:szCs w:val="21"/>
              </w:rPr>
            </w:pPr>
            <w:r>
              <w:rPr>
                <w:color w:val="000000"/>
                <w:kern w:val="0"/>
                <w:szCs w:val="21"/>
              </w:rPr>
              <w:t>　邮政业</w:t>
            </w:r>
          </w:p>
        </w:tc>
        <w:tc>
          <w:tcPr>
            <w:tcW w:w="1985" w:type="dxa"/>
            <w:tcBorders>
              <w:top w:val="nil"/>
              <w:left w:val="nil"/>
              <w:bottom w:val="single" w:color="auto" w:sz="12" w:space="0"/>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122.2 </w:t>
            </w:r>
          </w:p>
        </w:tc>
        <w:tc>
          <w:tcPr>
            <w:tcW w:w="1984" w:type="dxa"/>
            <w:tcBorders>
              <w:top w:val="nil"/>
              <w:left w:val="nil"/>
              <w:bottom w:val="single" w:color="auto" w:sz="12" w:space="0"/>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42.7 </w:t>
            </w:r>
          </w:p>
        </w:tc>
        <w:tc>
          <w:tcPr>
            <w:tcW w:w="1701" w:type="dxa"/>
            <w:tcBorders>
              <w:top w:val="nil"/>
              <w:left w:val="nil"/>
              <w:bottom w:val="single" w:color="auto" w:sz="12"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xml:space="preserve">309.8 </w:t>
            </w:r>
          </w:p>
        </w:tc>
      </w:tr>
    </w:tbl>
    <w:p>
      <w:pPr>
        <w:widowControl/>
        <w:spacing w:line="620" w:lineRule="exact"/>
        <w:ind w:firstLine="643" w:firstLineChars="200"/>
        <w:rPr>
          <w:rFonts w:eastAsia="楷体_GB2312"/>
          <w:b/>
          <w:kern w:val="0"/>
          <w:sz w:val="32"/>
          <w:szCs w:val="32"/>
        </w:rPr>
      </w:pPr>
    </w:p>
    <w:p>
      <w:pPr>
        <w:widowControl/>
        <w:spacing w:line="620" w:lineRule="exact"/>
        <w:ind w:firstLine="640" w:firstLineChars="200"/>
        <w:jc w:val="left"/>
        <w:rPr>
          <w:rFonts w:eastAsia="黑体"/>
          <w:kern w:val="0"/>
          <w:sz w:val="32"/>
          <w:szCs w:val="32"/>
        </w:rPr>
      </w:pPr>
      <w:r>
        <w:rPr>
          <w:rFonts w:eastAsia="黑体"/>
          <w:kern w:val="0"/>
          <w:sz w:val="32"/>
          <w:szCs w:val="32"/>
        </w:rPr>
        <w:t>三、住宿和餐饮业</w:t>
      </w:r>
    </w:p>
    <w:p>
      <w:pPr>
        <w:widowControl/>
        <w:spacing w:line="620" w:lineRule="exact"/>
        <w:ind w:firstLine="643" w:firstLineChars="200"/>
        <w:rPr>
          <w:rFonts w:eastAsia="楷体_GB2312"/>
          <w:b/>
          <w:kern w:val="0"/>
          <w:sz w:val="32"/>
          <w:szCs w:val="32"/>
        </w:rPr>
      </w:pPr>
      <w:r>
        <w:rPr>
          <w:rFonts w:eastAsia="楷体_GB2312"/>
          <w:b/>
          <w:kern w:val="0"/>
          <w:sz w:val="32"/>
          <w:szCs w:val="32"/>
        </w:rPr>
        <w:t>（一）企业法人单位数和从业人员。</w:t>
      </w:r>
    </w:p>
    <w:p>
      <w:pPr>
        <w:widowControl/>
        <w:spacing w:line="620" w:lineRule="exact"/>
        <w:ind w:firstLine="640" w:firstLineChars="200"/>
        <w:rPr>
          <w:rFonts w:eastAsia="仿宋_GB2312"/>
          <w:color w:val="000000" w:themeColor="text1"/>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共有住宿和餐饮业企业法人单位</w:t>
      </w:r>
      <w:r>
        <w:rPr>
          <w:rFonts w:hint="eastAsia" w:eastAsia="仿宋_GB2312"/>
          <w:kern w:val="0"/>
          <w:sz w:val="32"/>
          <w:szCs w:val="32"/>
        </w:rPr>
        <w:t>49</w:t>
      </w:r>
      <w:r>
        <w:rPr>
          <w:rFonts w:eastAsia="仿宋_GB2312"/>
          <w:kern w:val="0"/>
          <w:sz w:val="32"/>
          <w:szCs w:val="32"/>
        </w:rPr>
        <w:t>个，比</w:t>
      </w:r>
      <w:r>
        <w:rPr>
          <w:rFonts w:eastAsia="仿宋_GB2312"/>
          <w:color w:val="000000" w:themeColor="text1"/>
          <w:kern w:val="0"/>
          <w:sz w:val="32"/>
          <w:szCs w:val="32"/>
        </w:rPr>
        <w:t>2013年末增长</w:t>
      </w:r>
      <w:r>
        <w:rPr>
          <w:rFonts w:hint="eastAsia" w:eastAsia="仿宋_GB2312"/>
          <w:color w:val="000000" w:themeColor="text1"/>
          <w:kern w:val="0"/>
          <w:sz w:val="32"/>
          <w:szCs w:val="32"/>
        </w:rPr>
        <w:t>63.3</w:t>
      </w:r>
      <w:r>
        <w:rPr>
          <w:rFonts w:eastAsia="仿宋_GB2312"/>
          <w:color w:val="000000" w:themeColor="text1"/>
          <w:kern w:val="0"/>
          <w:sz w:val="32"/>
          <w:szCs w:val="32"/>
        </w:rPr>
        <w:t>%</w:t>
      </w:r>
      <w:r>
        <w:rPr>
          <w:rFonts w:hint="eastAsia" w:eastAsia="仿宋_GB2312"/>
          <w:color w:val="000000" w:themeColor="text1"/>
          <w:kern w:val="0"/>
          <w:sz w:val="32"/>
          <w:szCs w:val="32"/>
        </w:rPr>
        <w:t>。</w:t>
      </w:r>
      <w:r>
        <w:rPr>
          <w:rFonts w:eastAsia="仿宋_GB2312"/>
          <w:color w:val="000000" w:themeColor="text1"/>
          <w:kern w:val="0"/>
          <w:sz w:val="32"/>
          <w:szCs w:val="32"/>
        </w:rPr>
        <w:t>从业人员</w:t>
      </w:r>
      <w:r>
        <w:rPr>
          <w:rFonts w:hint="eastAsia" w:eastAsia="仿宋_GB2312"/>
          <w:color w:val="000000" w:themeColor="text1"/>
          <w:kern w:val="0"/>
          <w:sz w:val="32"/>
          <w:szCs w:val="32"/>
        </w:rPr>
        <w:t>1008</w:t>
      </w:r>
      <w:r>
        <w:rPr>
          <w:rFonts w:eastAsia="仿宋_GB2312"/>
          <w:color w:val="000000" w:themeColor="text1"/>
          <w:kern w:val="0"/>
          <w:sz w:val="32"/>
          <w:szCs w:val="32"/>
        </w:rPr>
        <w:t>人，比2013年末下降</w:t>
      </w:r>
      <w:r>
        <w:rPr>
          <w:rFonts w:hint="eastAsia" w:eastAsia="仿宋_GB2312"/>
          <w:color w:val="000000" w:themeColor="text1"/>
          <w:kern w:val="0"/>
          <w:sz w:val="32"/>
          <w:szCs w:val="32"/>
        </w:rPr>
        <w:t>26.2</w:t>
      </w:r>
      <w:r>
        <w:rPr>
          <w:rFonts w:eastAsia="仿宋_GB2312"/>
          <w:color w:val="000000" w:themeColor="text1"/>
          <w:kern w:val="0"/>
          <w:sz w:val="32"/>
          <w:szCs w:val="32"/>
        </w:rPr>
        <w:t>%。</w:t>
      </w:r>
    </w:p>
    <w:p>
      <w:pPr>
        <w:widowControl/>
        <w:spacing w:line="620" w:lineRule="exact"/>
        <w:ind w:firstLine="640" w:firstLineChars="200"/>
        <w:rPr>
          <w:rFonts w:eastAsia="仿宋_GB2312"/>
          <w:kern w:val="0"/>
          <w:sz w:val="32"/>
          <w:szCs w:val="32"/>
        </w:rPr>
      </w:pPr>
      <w:r>
        <w:rPr>
          <w:rFonts w:eastAsia="仿宋_GB2312"/>
          <w:kern w:val="0"/>
          <w:sz w:val="32"/>
          <w:szCs w:val="32"/>
        </w:rPr>
        <w:t>在住宿和餐饮业企业法人单位中，住宿业占</w:t>
      </w:r>
      <w:r>
        <w:rPr>
          <w:rFonts w:hint="eastAsia" w:eastAsia="仿宋_GB2312"/>
          <w:kern w:val="0"/>
          <w:sz w:val="32"/>
          <w:szCs w:val="32"/>
        </w:rPr>
        <w:t>73.47</w:t>
      </w:r>
      <w:r>
        <w:rPr>
          <w:rFonts w:eastAsia="仿宋_GB2312"/>
          <w:kern w:val="0"/>
          <w:sz w:val="32"/>
          <w:szCs w:val="32"/>
        </w:rPr>
        <w:t>%，餐饮业占</w:t>
      </w:r>
      <w:r>
        <w:rPr>
          <w:rFonts w:hint="eastAsia" w:eastAsia="仿宋_GB2312"/>
          <w:kern w:val="0"/>
          <w:sz w:val="32"/>
          <w:szCs w:val="32"/>
        </w:rPr>
        <w:t>26.53</w:t>
      </w:r>
      <w:r>
        <w:rPr>
          <w:rFonts w:eastAsia="仿宋_GB2312"/>
          <w:kern w:val="0"/>
          <w:sz w:val="32"/>
          <w:szCs w:val="32"/>
        </w:rPr>
        <w:t>%。在住宿和餐饮业企业法人单位从业人员中，住宿业占</w:t>
      </w:r>
      <w:r>
        <w:rPr>
          <w:rFonts w:hint="eastAsia" w:eastAsia="仿宋_GB2312"/>
          <w:kern w:val="0"/>
          <w:sz w:val="32"/>
          <w:szCs w:val="32"/>
        </w:rPr>
        <w:t>86.51</w:t>
      </w:r>
      <w:r>
        <w:rPr>
          <w:rFonts w:eastAsia="仿宋_GB2312"/>
          <w:kern w:val="0"/>
          <w:sz w:val="32"/>
          <w:szCs w:val="32"/>
        </w:rPr>
        <w:t>%，餐饮业占</w:t>
      </w:r>
      <w:r>
        <w:rPr>
          <w:rFonts w:hint="eastAsia" w:eastAsia="仿宋_GB2312"/>
          <w:kern w:val="0"/>
          <w:sz w:val="32"/>
          <w:szCs w:val="32"/>
        </w:rPr>
        <w:t>13.49</w:t>
      </w:r>
      <w:r>
        <w:rPr>
          <w:rFonts w:eastAsia="仿宋_GB2312"/>
          <w:kern w:val="0"/>
          <w:sz w:val="32"/>
          <w:szCs w:val="32"/>
        </w:rPr>
        <w:t>%（详见表4-6）。</w:t>
      </w:r>
    </w:p>
    <w:p>
      <w:pPr>
        <w:widowControl/>
        <w:spacing w:line="620" w:lineRule="exact"/>
        <w:ind w:firstLine="640" w:firstLineChars="200"/>
        <w:rPr>
          <w:rFonts w:eastAsia="仿宋_GB2312"/>
          <w:kern w:val="0"/>
          <w:sz w:val="32"/>
          <w:szCs w:val="32"/>
        </w:rPr>
      </w:pPr>
    </w:p>
    <w:tbl>
      <w:tblPr>
        <w:tblStyle w:val="4"/>
        <w:tblW w:w="7513" w:type="dxa"/>
        <w:tblInd w:w="675" w:type="dxa"/>
        <w:tblLayout w:type="autofit"/>
        <w:tblCellMar>
          <w:top w:w="0" w:type="dxa"/>
          <w:left w:w="108" w:type="dxa"/>
          <w:bottom w:w="0" w:type="dxa"/>
          <w:right w:w="108" w:type="dxa"/>
        </w:tblCellMar>
      </w:tblPr>
      <w:tblGrid>
        <w:gridCol w:w="3544"/>
        <w:gridCol w:w="2126"/>
        <w:gridCol w:w="1843"/>
      </w:tblGrid>
      <w:tr>
        <w:tblPrEx>
          <w:tblCellMar>
            <w:top w:w="0" w:type="dxa"/>
            <w:left w:w="108" w:type="dxa"/>
            <w:bottom w:w="0" w:type="dxa"/>
            <w:right w:w="108" w:type="dxa"/>
          </w:tblCellMar>
        </w:tblPrEx>
        <w:trPr>
          <w:trHeight w:val="900" w:hRule="atLeast"/>
        </w:trPr>
        <w:tc>
          <w:tcPr>
            <w:tcW w:w="7513" w:type="dxa"/>
            <w:gridSpan w:val="3"/>
            <w:tcBorders>
              <w:top w:val="nil"/>
              <w:left w:val="nil"/>
              <w:bottom w:val="single" w:color="auto" w:sz="12" w:space="0"/>
              <w:right w:val="nil"/>
            </w:tcBorders>
            <w:shd w:val="clear" w:color="000000" w:fill="FFFFFF"/>
            <w:vAlign w:val="center"/>
          </w:tcPr>
          <w:p>
            <w:pPr>
              <w:widowControl/>
              <w:jc w:val="center"/>
              <w:rPr>
                <w:b/>
                <w:bCs/>
                <w:color w:val="000000"/>
                <w:kern w:val="0"/>
                <w:sz w:val="24"/>
              </w:rPr>
            </w:pPr>
            <w:r>
              <w:rPr>
                <w:b/>
                <w:bCs/>
                <w:color w:val="000000"/>
                <w:kern w:val="0"/>
                <w:sz w:val="24"/>
              </w:rPr>
              <w:t>表4-6</w:t>
            </w:r>
            <w:r>
              <w:rPr>
                <w:rFonts w:hint="eastAsia" w:ascii="宋体" w:hAnsi="宋体"/>
                <w:b/>
                <w:bCs/>
                <w:color w:val="000000"/>
                <w:kern w:val="0"/>
                <w:sz w:val="24"/>
              </w:rPr>
              <w:t>　按行业中类分组的住宿和餐饮业企业法人单位和从业人员</w:t>
            </w:r>
          </w:p>
        </w:tc>
      </w:tr>
      <w:tr>
        <w:tblPrEx>
          <w:tblCellMar>
            <w:top w:w="0" w:type="dxa"/>
            <w:left w:w="108" w:type="dxa"/>
            <w:bottom w:w="0" w:type="dxa"/>
            <w:right w:w="108" w:type="dxa"/>
          </w:tblCellMar>
        </w:tblPrEx>
        <w:trPr>
          <w:trHeight w:val="570" w:hRule="atLeast"/>
        </w:trPr>
        <w:tc>
          <w:tcPr>
            <w:tcW w:w="3544" w:type="dxa"/>
            <w:vMerge w:val="restart"/>
            <w:tcBorders>
              <w:top w:val="nil"/>
              <w:left w:val="nil"/>
              <w:bottom w:val="single" w:color="auto" w:sz="8" w:space="0"/>
              <w:right w:val="single" w:color="auto" w:sz="12" w:space="0"/>
            </w:tcBorders>
            <w:shd w:val="clear" w:color="auto" w:fill="auto"/>
            <w:vAlign w:val="center"/>
          </w:tcPr>
          <w:p>
            <w:pPr>
              <w:widowControl/>
              <w:jc w:val="center"/>
              <w:rPr>
                <w:b/>
                <w:bCs/>
                <w:color w:val="000000"/>
                <w:kern w:val="0"/>
                <w:sz w:val="18"/>
                <w:szCs w:val="18"/>
              </w:rPr>
            </w:pPr>
            <w:r>
              <w:rPr>
                <w:b/>
                <w:bCs/>
                <w:color w:val="000000"/>
                <w:kern w:val="0"/>
                <w:sz w:val="18"/>
                <w:szCs w:val="18"/>
              </w:rPr>
              <w:t>　</w:t>
            </w:r>
          </w:p>
        </w:tc>
        <w:tc>
          <w:tcPr>
            <w:tcW w:w="2126"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企业法人单位</w:t>
            </w:r>
          </w:p>
        </w:tc>
        <w:tc>
          <w:tcPr>
            <w:tcW w:w="1843"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从业人员</w:t>
            </w:r>
          </w:p>
        </w:tc>
      </w:tr>
      <w:tr>
        <w:tblPrEx>
          <w:tblCellMar>
            <w:top w:w="0" w:type="dxa"/>
            <w:left w:w="108" w:type="dxa"/>
            <w:bottom w:w="0" w:type="dxa"/>
            <w:right w:w="108" w:type="dxa"/>
          </w:tblCellMar>
        </w:tblPrEx>
        <w:trPr>
          <w:trHeight w:val="270" w:hRule="atLeast"/>
        </w:trPr>
        <w:tc>
          <w:tcPr>
            <w:tcW w:w="3544" w:type="dxa"/>
            <w:vMerge w:val="continue"/>
            <w:tcBorders>
              <w:top w:val="nil"/>
              <w:left w:val="nil"/>
              <w:bottom w:val="single" w:color="auto" w:sz="8" w:space="0"/>
              <w:right w:val="single" w:color="auto" w:sz="12" w:space="0"/>
            </w:tcBorders>
            <w:vAlign w:val="center"/>
          </w:tcPr>
          <w:p>
            <w:pPr>
              <w:widowControl/>
              <w:jc w:val="left"/>
              <w:rPr>
                <w:b/>
                <w:bCs/>
                <w:color w:val="000000"/>
                <w:kern w:val="0"/>
                <w:sz w:val="18"/>
                <w:szCs w:val="18"/>
              </w:rPr>
            </w:pPr>
          </w:p>
        </w:tc>
        <w:tc>
          <w:tcPr>
            <w:tcW w:w="2126" w:type="dxa"/>
            <w:tcBorders>
              <w:top w:val="nil"/>
              <w:left w:val="nil"/>
              <w:bottom w:val="single" w:color="auto"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（个）</w:t>
            </w:r>
          </w:p>
        </w:tc>
        <w:tc>
          <w:tcPr>
            <w:tcW w:w="1843"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49</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1008</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b/>
                <w:bCs/>
                <w:color w:val="000000"/>
                <w:kern w:val="0"/>
                <w:szCs w:val="21"/>
              </w:rPr>
            </w:pPr>
            <w:r>
              <w:rPr>
                <w:b/>
                <w:bCs/>
                <w:color w:val="000000"/>
                <w:kern w:val="0"/>
                <w:szCs w:val="21"/>
              </w:rPr>
              <w:t>住宿业</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36</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872</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旅游饭店</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759</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一般旅馆</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8</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67</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其他住宿业</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17</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46</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b/>
                <w:bCs/>
                <w:color w:val="000000"/>
                <w:kern w:val="0"/>
                <w:szCs w:val="21"/>
              </w:rPr>
            </w:pPr>
            <w:r>
              <w:rPr>
                <w:b/>
                <w:bCs/>
                <w:color w:val="000000"/>
                <w:kern w:val="0"/>
                <w:szCs w:val="21"/>
              </w:rPr>
              <w:t>餐饮业</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13</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136</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正餐服务</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123</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快餐服务</w:t>
            </w:r>
          </w:p>
        </w:tc>
        <w:tc>
          <w:tcPr>
            <w:tcW w:w="2126" w:type="dxa"/>
            <w:tcBorders>
              <w:top w:val="nil"/>
              <w:left w:val="nil"/>
              <w:bottom w:val="nil"/>
              <w:right w:val="single" w:color="auto" w:sz="12" w:space="0"/>
            </w:tcBorders>
            <w:shd w:val="clear" w:color="auto" w:fill="auto"/>
            <w:vAlign w:val="bottom"/>
          </w:tcPr>
          <w:p>
            <w:pPr>
              <w:widowControl/>
              <w:jc w:val="center"/>
              <w:rPr>
                <w:color w:val="000000"/>
                <w:kern w:val="0"/>
                <w:sz w:val="24"/>
              </w:rPr>
            </w:pPr>
            <w:r>
              <w:rPr>
                <w:color w:val="000000"/>
                <w:kern w:val="0"/>
                <w:sz w:val="24"/>
              </w:rPr>
              <w:t>　</w:t>
            </w:r>
          </w:p>
        </w:tc>
        <w:tc>
          <w:tcPr>
            <w:tcW w:w="1843" w:type="dxa"/>
            <w:tcBorders>
              <w:top w:val="nil"/>
              <w:left w:val="nil"/>
              <w:bottom w:val="nil"/>
              <w:right w:val="nil"/>
            </w:tcBorders>
            <w:shd w:val="clear" w:color="auto" w:fill="auto"/>
            <w:vAlign w:val="bottom"/>
          </w:tcPr>
          <w:p>
            <w:pPr>
              <w:widowControl/>
              <w:jc w:val="center"/>
              <w:rPr>
                <w:color w:val="000000"/>
                <w:kern w:val="0"/>
                <w:sz w:val="24"/>
              </w:rPr>
            </w:pPr>
            <w:r>
              <w:rPr>
                <w:color w:val="000000"/>
                <w:kern w:val="0"/>
                <w:sz w:val="24"/>
              </w:rPr>
              <w:t>　</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饮料及冷饮服务</w:t>
            </w:r>
          </w:p>
        </w:tc>
        <w:tc>
          <w:tcPr>
            <w:tcW w:w="2126"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7</w:t>
            </w:r>
          </w:p>
        </w:tc>
      </w:tr>
      <w:tr>
        <w:tblPrEx>
          <w:tblCellMar>
            <w:top w:w="0" w:type="dxa"/>
            <w:left w:w="108" w:type="dxa"/>
            <w:bottom w:w="0" w:type="dxa"/>
            <w:right w:w="108" w:type="dxa"/>
          </w:tblCellMar>
        </w:tblPrEx>
        <w:trPr>
          <w:trHeight w:val="390" w:hRule="atLeast"/>
        </w:trPr>
        <w:tc>
          <w:tcPr>
            <w:tcW w:w="3544"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xml:space="preserve">    餐饮配送及外卖送餐服务</w:t>
            </w:r>
          </w:p>
        </w:tc>
        <w:tc>
          <w:tcPr>
            <w:tcW w:w="2126" w:type="dxa"/>
            <w:tcBorders>
              <w:top w:val="nil"/>
              <w:left w:val="nil"/>
              <w:bottom w:val="nil"/>
              <w:right w:val="single" w:color="auto" w:sz="12" w:space="0"/>
            </w:tcBorders>
            <w:shd w:val="clear" w:color="auto" w:fill="auto"/>
            <w:vAlign w:val="bottom"/>
          </w:tcPr>
          <w:p>
            <w:pPr>
              <w:widowControl/>
              <w:jc w:val="center"/>
              <w:rPr>
                <w:color w:val="000000"/>
                <w:kern w:val="0"/>
                <w:sz w:val="24"/>
              </w:rPr>
            </w:pPr>
            <w:r>
              <w:rPr>
                <w:color w:val="000000"/>
                <w:kern w:val="0"/>
                <w:sz w:val="24"/>
              </w:rPr>
              <w:t>　</w:t>
            </w:r>
          </w:p>
        </w:tc>
        <w:tc>
          <w:tcPr>
            <w:tcW w:w="1843" w:type="dxa"/>
            <w:tcBorders>
              <w:top w:val="nil"/>
              <w:left w:val="nil"/>
              <w:bottom w:val="nil"/>
              <w:right w:val="nil"/>
            </w:tcBorders>
            <w:shd w:val="clear" w:color="auto" w:fill="auto"/>
            <w:vAlign w:val="bottom"/>
          </w:tcPr>
          <w:p>
            <w:pPr>
              <w:widowControl/>
              <w:jc w:val="center"/>
              <w:rPr>
                <w:color w:val="000000"/>
                <w:kern w:val="0"/>
                <w:sz w:val="24"/>
              </w:rPr>
            </w:pPr>
            <w:r>
              <w:rPr>
                <w:color w:val="000000"/>
                <w:kern w:val="0"/>
                <w:sz w:val="24"/>
              </w:rPr>
              <w:t>　</w:t>
            </w:r>
          </w:p>
        </w:tc>
      </w:tr>
      <w:tr>
        <w:tblPrEx>
          <w:tblCellMar>
            <w:top w:w="0" w:type="dxa"/>
            <w:left w:w="108" w:type="dxa"/>
            <w:bottom w:w="0" w:type="dxa"/>
            <w:right w:w="108" w:type="dxa"/>
          </w:tblCellMar>
        </w:tblPrEx>
        <w:trPr>
          <w:trHeight w:val="390" w:hRule="atLeast"/>
        </w:trPr>
        <w:tc>
          <w:tcPr>
            <w:tcW w:w="3544" w:type="dxa"/>
            <w:tcBorders>
              <w:top w:val="nil"/>
              <w:left w:val="nil"/>
              <w:bottom w:val="single" w:color="auto" w:sz="12" w:space="0"/>
              <w:right w:val="single" w:color="auto" w:sz="12" w:space="0"/>
            </w:tcBorders>
            <w:shd w:val="clear" w:color="auto" w:fill="auto"/>
            <w:vAlign w:val="center"/>
          </w:tcPr>
          <w:p>
            <w:pPr>
              <w:widowControl/>
              <w:rPr>
                <w:color w:val="000000"/>
                <w:kern w:val="0"/>
                <w:szCs w:val="21"/>
              </w:rPr>
            </w:pPr>
            <w:r>
              <w:rPr>
                <w:color w:val="000000"/>
                <w:kern w:val="0"/>
                <w:szCs w:val="21"/>
              </w:rPr>
              <w:t>　　其他餐饮业</w:t>
            </w:r>
          </w:p>
        </w:tc>
        <w:tc>
          <w:tcPr>
            <w:tcW w:w="2126" w:type="dxa"/>
            <w:tcBorders>
              <w:top w:val="nil"/>
              <w:left w:val="nil"/>
              <w:bottom w:val="single" w:color="auto" w:sz="12" w:space="0"/>
              <w:right w:val="single" w:color="auto" w:sz="12"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1843" w:type="dxa"/>
            <w:tcBorders>
              <w:top w:val="nil"/>
              <w:left w:val="nil"/>
              <w:bottom w:val="single" w:color="auto" w:sz="12"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w:t>
            </w:r>
          </w:p>
        </w:tc>
      </w:tr>
    </w:tbl>
    <w:p>
      <w:pPr>
        <w:spacing w:line="400" w:lineRule="exact"/>
        <w:ind w:firstLine="630" w:firstLineChars="300"/>
        <w:rPr>
          <w:szCs w:val="21"/>
        </w:rPr>
      </w:pPr>
      <w:r>
        <w:rPr>
          <w:szCs w:val="21"/>
        </w:rPr>
        <w:t>注：其它住宿业包含民宿服务、露营地服务等其它住宿业</w:t>
      </w:r>
    </w:p>
    <w:p>
      <w:pPr>
        <w:widowControl/>
        <w:spacing w:line="620" w:lineRule="exact"/>
        <w:ind w:firstLine="640" w:firstLineChars="200"/>
        <w:rPr>
          <w:rFonts w:eastAsia="仿宋_GB2312"/>
          <w:kern w:val="0"/>
          <w:sz w:val="32"/>
          <w:szCs w:val="32"/>
        </w:rPr>
      </w:pPr>
    </w:p>
    <w:p>
      <w:pPr>
        <w:widowControl/>
        <w:spacing w:line="620" w:lineRule="exact"/>
        <w:ind w:firstLine="640" w:firstLineChars="200"/>
        <w:rPr>
          <w:rFonts w:eastAsia="仿宋_GB2312"/>
          <w:kern w:val="0"/>
          <w:sz w:val="32"/>
          <w:szCs w:val="32"/>
        </w:rPr>
      </w:pPr>
      <w:r>
        <w:rPr>
          <w:rFonts w:eastAsia="仿宋_GB2312"/>
          <w:kern w:val="0"/>
          <w:sz w:val="32"/>
          <w:szCs w:val="32"/>
        </w:rPr>
        <w:t>在住宿和餐饮业企业法人单位中，内资企业占</w:t>
      </w:r>
      <w:r>
        <w:rPr>
          <w:rFonts w:hint="eastAsia" w:eastAsia="仿宋_GB2312"/>
          <w:kern w:val="0"/>
          <w:sz w:val="32"/>
          <w:szCs w:val="32"/>
        </w:rPr>
        <w:t>97.96</w:t>
      </w:r>
      <w:r>
        <w:rPr>
          <w:rFonts w:eastAsia="仿宋_GB2312"/>
          <w:kern w:val="0"/>
          <w:sz w:val="32"/>
          <w:szCs w:val="32"/>
        </w:rPr>
        <w:t>%，港、澳、台商投资企业占</w:t>
      </w:r>
      <w:r>
        <w:rPr>
          <w:rFonts w:hint="eastAsia" w:eastAsia="仿宋_GB2312"/>
          <w:kern w:val="0"/>
          <w:sz w:val="32"/>
          <w:szCs w:val="32"/>
        </w:rPr>
        <w:t>2.04</w:t>
      </w:r>
      <w:r>
        <w:rPr>
          <w:rFonts w:eastAsia="仿宋_GB2312"/>
          <w:kern w:val="0"/>
          <w:sz w:val="32"/>
          <w:szCs w:val="32"/>
        </w:rPr>
        <w:t>%。在住宿和餐饮业企业法人单位从业人员中，内资企业占100%。（详见表4-7）。</w:t>
      </w:r>
    </w:p>
    <w:tbl>
      <w:tblPr>
        <w:tblStyle w:val="4"/>
        <w:tblW w:w="7655" w:type="dxa"/>
        <w:tblInd w:w="675" w:type="dxa"/>
        <w:tblLayout w:type="autofit"/>
        <w:tblCellMar>
          <w:top w:w="0" w:type="dxa"/>
          <w:left w:w="108" w:type="dxa"/>
          <w:bottom w:w="0" w:type="dxa"/>
          <w:right w:w="108" w:type="dxa"/>
        </w:tblCellMar>
      </w:tblPr>
      <w:tblGrid>
        <w:gridCol w:w="3261"/>
        <w:gridCol w:w="2126"/>
        <w:gridCol w:w="2268"/>
      </w:tblGrid>
      <w:tr>
        <w:tblPrEx>
          <w:tblCellMar>
            <w:top w:w="0" w:type="dxa"/>
            <w:left w:w="108" w:type="dxa"/>
            <w:bottom w:w="0" w:type="dxa"/>
            <w:right w:w="108" w:type="dxa"/>
          </w:tblCellMar>
        </w:tblPrEx>
        <w:trPr>
          <w:trHeight w:val="900" w:hRule="atLeast"/>
        </w:trPr>
        <w:tc>
          <w:tcPr>
            <w:tcW w:w="7655" w:type="dxa"/>
            <w:gridSpan w:val="3"/>
            <w:tcBorders>
              <w:top w:val="nil"/>
              <w:left w:val="nil"/>
              <w:bottom w:val="single" w:color="auto" w:sz="12" w:space="0"/>
              <w:right w:val="nil"/>
            </w:tcBorders>
            <w:shd w:val="clear" w:color="000000" w:fill="FFFFFF"/>
            <w:vAlign w:val="center"/>
          </w:tcPr>
          <w:p>
            <w:pPr>
              <w:widowControl/>
              <w:jc w:val="center"/>
              <w:rPr>
                <w:b/>
                <w:bCs/>
                <w:color w:val="000000"/>
                <w:kern w:val="0"/>
                <w:sz w:val="24"/>
              </w:rPr>
            </w:pPr>
            <w:r>
              <w:rPr>
                <w:b/>
                <w:bCs/>
                <w:color w:val="000000"/>
                <w:kern w:val="0"/>
                <w:sz w:val="24"/>
              </w:rPr>
              <w:t>表4-7</w:t>
            </w:r>
            <w:r>
              <w:rPr>
                <w:rFonts w:hint="eastAsia" w:ascii="宋体" w:hAnsi="宋体"/>
                <w:b/>
                <w:bCs/>
                <w:color w:val="000000"/>
                <w:kern w:val="0"/>
                <w:sz w:val="24"/>
              </w:rPr>
              <w:t>　按登记注册类型分组的住宿和餐饮业企业法人单位和从业人员</w:t>
            </w:r>
          </w:p>
        </w:tc>
      </w:tr>
      <w:tr>
        <w:tblPrEx>
          <w:tblCellMar>
            <w:top w:w="0" w:type="dxa"/>
            <w:left w:w="108" w:type="dxa"/>
            <w:bottom w:w="0" w:type="dxa"/>
            <w:right w:w="108" w:type="dxa"/>
          </w:tblCellMar>
        </w:tblPrEx>
        <w:trPr>
          <w:trHeight w:val="465" w:hRule="atLeast"/>
        </w:trPr>
        <w:tc>
          <w:tcPr>
            <w:tcW w:w="3261" w:type="dxa"/>
            <w:vMerge w:val="restart"/>
            <w:tcBorders>
              <w:top w:val="nil"/>
              <w:left w:val="nil"/>
              <w:bottom w:val="single" w:color="auto" w:sz="8" w:space="0"/>
              <w:right w:val="single" w:color="auto" w:sz="8" w:space="0"/>
            </w:tcBorders>
            <w:shd w:val="clear" w:color="auto" w:fill="auto"/>
            <w:vAlign w:val="center"/>
          </w:tcPr>
          <w:p>
            <w:pPr>
              <w:widowControl/>
              <w:jc w:val="center"/>
              <w:rPr>
                <w:b/>
                <w:bCs/>
                <w:color w:val="000000"/>
                <w:kern w:val="0"/>
                <w:sz w:val="18"/>
                <w:szCs w:val="18"/>
              </w:rPr>
            </w:pPr>
            <w:r>
              <w:rPr>
                <w:b/>
                <w:bCs/>
                <w:color w:val="000000"/>
                <w:kern w:val="0"/>
                <w:sz w:val="18"/>
                <w:szCs w:val="18"/>
              </w:rPr>
              <w:t>　</w:t>
            </w:r>
          </w:p>
        </w:tc>
        <w:tc>
          <w:tcPr>
            <w:tcW w:w="2126"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企业法人单位</w:t>
            </w:r>
          </w:p>
        </w:tc>
        <w:tc>
          <w:tcPr>
            <w:tcW w:w="2268"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从业人员</w:t>
            </w:r>
          </w:p>
        </w:tc>
      </w:tr>
      <w:tr>
        <w:tblPrEx>
          <w:tblCellMar>
            <w:top w:w="0" w:type="dxa"/>
            <w:left w:w="108" w:type="dxa"/>
            <w:bottom w:w="0" w:type="dxa"/>
            <w:right w:w="108" w:type="dxa"/>
          </w:tblCellMar>
        </w:tblPrEx>
        <w:trPr>
          <w:trHeight w:val="390" w:hRule="atLeast"/>
        </w:trPr>
        <w:tc>
          <w:tcPr>
            <w:tcW w:w="3261" w:type="dxa"/>
            <w:vMerge w:val="continue"/>
            <w:tcBorders>
              <w:top w:val="nil"/>
              <w:left w:val="nil"/>
              <w:bottom w:val="single" w:color="auto" w:sz="8" w:space="0"/>
              <w:right w:val="single" w:color="auto" w:sz="8" w:space="0"/>
            </w:tcBorders>
            <w:vAlign w:val="center"/>
          </w:tcPr>
          <w:p>
            <w:pPr>
              <w:widowControl/>
              <w:jc w:val="left"/>
              <w:rPr>
                <w:b/>
                <w:bCs/>
                <w:color w:val="000000"/>
                <w:kern w:val="0"/>
                <w:sz w:val="18"/>
                <w:szCs w:val="18"/>
              </w:rPr>
            </w:pPr>
          </w:p>
        </w:tc>
        <w:tc>
          <w:tcPr>
            <w:tcW w:w="2126"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（个）</w:t>
            </w:r>
          </w:p>
        </w:tc>
        <w:tc>
          <w:tcPr>
            <w:tcW w:w="2268"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126" w:type="dxa"/>
            <w:tcBorders>
              <w:top w:val="nil"/>
              <w:left w:val="nil"/>
              <w:bottom w:val="nil"/>
              <w:right w:val="single" w:color="auto" w:sz="8" w:space="0"/>
            </w:tcBorders>
            <w:shd w:val="clear" w:color="auto" w:fill="auto"/>
            <w:vAlign w:val="center"/>
          </w:tcPr>
          <w:p>
            <w:pPr>
              <w:widowControl/>
              <w:jc w:val="center"/>
              <w:rPr>
                <w:b/>
                <w:bCs/>
                <w:color w:val="000000"/>
                <w:kern w:val="0"/>
                <w:sz w:val="22"/>
                <w:szCs w:val="22"/>
              </w:rPr>
            </w:pPr>
            <w:r>
              <w:rPr>
                <w:b/>
                <w:bCs/>
                <w:color w:val="000000"/>
                <w:kern w:val="0"/>
                <w:sz w:val="22"/>
                <w:szCs w:val="22"/>
              </w:rPr>
              <w:t>49</w:t>
            </w:r>
          </w:p>
        </w:tc>
        <w:tc>
          <w:tcPr>
            <w:tcW w:w="2268"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1008</w:t>
            </w: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b/>
                <w:bCs/>
                <w:color w:val="000000"/>
                <w:kern w:val="0"/>
                <w:szCs w:val="21"/>
              </w:rPr>
            </w:pPr>
            <w:r>
              <w:rPr>
                <w:b/>
                <w:bCs/>
                <w:color w:val="000000"/>
                <w:kern w:val="0"/>
                <w:szCs w:val="21"/>
              </w:rPr>
              <w:t>内资企业</w:t>
            </w:r>
          </w:p>
        </w:tc>
        <w:tc>
          <w:tcPr>
            <w:tcW w:w="2126" w:type="dxa"/>
            <w:tcBorders>
              <w:top w:val="nil"/>
              <w:left w:val="nil"/>
              <w:bottom w:val="nil"/>
              <w:right w:val="single" w:color="auto" w:sz="8" w:space="0"/>
            </w:tcBorders>
            <w:shd w:val="clear" w:color="auto" w:fill="auto"/>
            <w:vAlign w:val="center"/>
          </w:tcPr>
          <w:p>
            <w:pPr>
              <w:widowControl/>
              <w:jc w:val="center"/>
              <w:rPr>
                <w:b/>
                <w:bCs/>
                <w:color w:val="000000"/>
                <w:kern w:val="0"/>
                <w:sz w:val="22"/>
                <w:szCs w:val="22"/>
              </w:rPr>
            </w:pPr>
            <w:r>
              <w:rPr>
                <w:b/>
                <w:bCs/>
                <w:color w:val="000000"/>
                <w:kern w:val="0"/>
                <w:sz w:val="22"/>
                <w:szCs w:val="22"/>
              </w:rPr>
              <w:t>48</w:t>
            </w:r>
          </w:p>
        </w:tc>
        <w:tc>
          <w:tcPr>
            <w:tcW w:w="2268"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1008</w:t>
            </w: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国有企业</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集体企业</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联营企业</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有限责任公司</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7</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251</w:t>
            </w: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股份有限公司</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私营企业</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41</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757</w:t>
            </w:r>
          </w:p>
        </w:tc>
      </w:tr>
      <w:tr>
        <w:tblPrEx>
          <w:tblCellMar>
            <w:top w:w="0" w:type="dxa"/>
            <w:left w:w="108" w:type="dxa"/>
            <w:bottom w:w="0" w:type="dxa"/>
            <w:right w:w="108" w:type="dxa"/>
          </w:tblCellMar>
        </w:tblPrEx>
        <w:trPr>
          <w:trHeight w:val="375" w:hRule="atLeast"/>
        </w:trPr>
        <w:tc>
          <w:tcPr>
            <w:tcW w:w="3261"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其他企业</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p>
        </w:tc>
      </w:tr>
      <w:tr>
        <w:tblPrEx>
          <w:tblCellMar>
            <w:top w:w="0" w:type="dxa"/>
            <w:left w:w="108" w:type="dxa"/>
            <w:bottom w:w="0" w:type="dxa"/>
            <w:right w:w="108" w:type="dxa"/>
          </w:tblCellMar>
        </w:tblPrEx>
        <w:trPr>
          <w:trHeight w:val="510" w:hRule="atLeast"/>
        </w:trPr>
        <w:tc>
          <w:tcPr>
            <w:tcW w:w="3261" w:type="dxa"/>
            <w:tcBorders>
              <w:top w:val="nil"/>
              <w:left w:val="nil"/>
              <w:bottom w:val="single" w:color="auto" w:sz="12" w:space="0"/>
              <w:right w:val="single" w:color="auto" w:sz="8" w:space="0"/>
            </w:tcBorders>
            <w:shd w:val="clear" w:color="auto" w:fill="auto"/>
            <w:vAlign w:val="center"/>
          </w:tcPr>
          <w:p>
            <w:pPr>
              <w:widowControl/>
              <w:rPr>
                <w:b/>
                <w:bCs/>
                <w:color w:val="000000"/>
                <w:kern w:val="0"/>
                <w:szCs w:val="21"/>
              </w:rPr>
            </w:pPr>
            <w:r>
              <w:rPr>
                <w:b/>
                <w:bCs/>
                <w:color w:val="000000"/>
                <w:kern w:val="0"/>
                <w:szCs w:val="21"/>
              </w:rPr>
              <w:t>港、澳、台商投资企业</w:t>
            </w:r>
          </w:p>
        </w:tc>
        <w:tc>
          <w:tcPr>
            <w:tcW w:w="2126" w:type="dxa"/>
            <w:tcBorders>
              <w:top w:val="nil"/>
              <w:left w:val="nil"/>
              <w:bottom w:val="single" w:color="auto" w:sz="12" w:space="0"/>
              <w:right w:val="single" w:color="auto" w:sz="8" w:space="0"/>
            </w:tcBorders>
            <w:shd w:val="clear" w:color="auto" w:fill="auto"/>
            <w:vAlign w:val="center"/>
          </w:tcPr>
          <w:p>
            <w:pPr>
              <w:widowControl/>
              <w:jc w:val="center"/>
              <w:rPr>
                <w:b/>
                <w:bCs/>
                <w:color w:val="000000"/>
                <w:kern w:val="0"/>
                <w:sz w:val="22"/>
                <w:szCs w:val="22"/>
              </w:rPr>
            </w:pPr>
            <w:r>
              <w:rPr>
                <w:b/>
                <w:bCs/>
                <w:color w:val="000000"/>
                <w:kern w:val="0"/>
                <w:sz w:val="22"/>
                <w:szCs w:val="22"/>
              </w:rPr>
              <w:t>1</w:t>
            </w:r>
          </w:p>
        </w:tc>
        <w:tc>
          <w:tcPr>
            <w:tcW w:w="2268" w:type="dxa"/>
            <w:tcBorders>
              <w:top w:val="nil"/>
              <w:left w:val="nil"/>
              <w:bottom w:val="single" w:color="auto" w:sz="12" w:space="0"/>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widowControl/>
        <w:spacing w:line="620" w:lineRule="exact"/>
        <w:ind w:firstLine="640" w:firstLineChars="200"/>
        <w:rPr>
          <w:rFonts w:eastAsia="楷体_GB2312"/>
          <w:kern w:val="0"/>
          <w:sz w:val="32"/>
          <w:szCs w:val="32"/>
        </w:rPr>
      </w:pPr>
    </w:p>
    <w:p>
      <w:pPr>
        <w:widowControl/>
        <w:spacing w:line="620" w:lineRule="exact"/>
        <w:ind w:firstLine="640" w:firstLineChars="200"/>
        <w:rPr>
          <w:rFonts w:eastAsia="楷体_GB2312"/>
          <w:kern w:val="0"/>
          <w:sz w:val="32"/>
          <w:szCs w:val="32"/>
        </w:rPr>
      </w:pPr>
      <w:r>
        <w:rPr>
          <w:rFonts w:eastAsia="楷体_GB2312"/>
          <w:kern w:val="0"/>
          <w:sz w:val="32"/>
          <w:szCs w:val="32"/>
        </w:rPr>
        <w:t>（二）主要经济指标。</w:t>
      </w:r>
    </w:p>
    <w:p>
      <w:pPr>
        <w:widowControl/>
        <w:spacing w:line="620" w:lineRule="exact"/>
        <w:ind w:firstLine="640" w:firstLineChars="200"/>
        <w:rPr>
          <w:rFonts w:eastAsia="仿宋_GB2312"/>
          <w:kern w:val="0"/>
          <w:sz w:val="32"/>
          <w:szCs w:val="32"/>
        </w:rPr>
      </w:pPr>
      <w:r>
        <w:rPr>
          <w:rFonts w:eastAsia="仿宋_GB2312"/>
          <w:kern w:val="0"/>
          <w:sz w:val="32"/>
          <w:szCs w:val="32"/>
        </w:rPr>
        <w:t>201</w:t>
      </w:r>
      <w:r>
        <w:rPr>
          <w:rFonts w:hint="eastAsia" w:eastAsia="仿宋_GB2312"/>
          <w:kern w:val="0"/>
          <w:sz w:val="32"/>
          <w:szCs w:val="32"/>
        </w:rPr>
        <w:t>8</w:t>
      </w:r>
      <w:r>
        <w:rPr>
          <w:rFonts w:eastAsia="仿宋_GB2312"/>
          <w:kern w:val="0"/>
          <w:sz w:val="32"/>
          <w:szCs w:val="32"/>
        </w:rPr>
        <w:t>年末，住宿和餐饮业企业法人单位资产总计</w:t>
      </w:r>
      <w:r>
        <w:rPr>
          <w:rFonts w:hint="eastAsia" w:eastAsia="仿宋_GB2312"/>
          <w:kern w:val="0"/>
          <w:sz w:val="32"/>
          <w:szCs w:val="32"/>
        </w:rPr>
        <w:t>49549.3</w:t>
      </w:r>
      <w:r>
        <w:rPr>
          <w:rFonts w:eastAsia="仿宋_GB2312"/>
          <w:color w:val="000000" w:themeColor="text1"/>
          <w:kern w:val="0"/>
          <w:sz w:val="32"/>
          <w:szCs w:val="32"/>
        </w:rPr>
        <w:t>万元，比2013年末</w:t>
      </w:r>
      <w:r>
        <w:rPr>
          <w:rFonts w:hint="eastAsia" w:eastAsia="仿宋_GB2312"/>
          <w:color w:val="000000" w:themeColor="text1"/>
          <w:kern w:val="0"/>
          <w:sz w:val="32"/>
          <w:szCs w:val="32"/>
        </w:rPr>
        <w:t>下降18.9</w:t>
      </w:r>
      <w:r>
        <w:rPr>
          <w:rFonts w:eastAsia="仿宋_GB2312"/>
          <w:color w:val="000000" w:themeColor="text1"/>
          <w:kern w:val="0"/>
          <w:sz w:val="32"/>
          <w:szCs w:val="32"/>
        </w:rPr>
        <w:t>%。其中，住宿业企业法人单位资产总计</w:t>
      </w:r>
      <w:r>
        <w:rPr>
          <w:rFonts w:hint="eastAsia" w:eastAsia="仿宋_GB2312"/>
          <w:color w:val="000000" w:themeColor="text1"/>
          <w:kern w:val="0"/>
          <w:sz w:val="32"/>
          <w:szCs w:val="32"/>
        </w:rPr>
        <w:t>48743.3</w:t>
      </w:r>
      <w:r>
        <w:rPr>
          <w:rFonts w:eastAsia="仿宋_GB2312"/>
          <w:color w:val="000000" w:themeColor="text1"/>
          <w:kern w:val="0"/>
          <w:sz w:val="32"/>
          <w:szCs w:val="32"/>
        </w:rPr>
        <w:t>万元，餐饮业企业法人单位资产总计</w:t>
      </w:r>
      <w:r>
        <w:rPr>
          <w:rFonts w:hint="eastAsia" w:eastAsia="仿宋_GB2312"/>
          <w:color w:val="000000" w:themeColor="text1"/>
          <w:kern w:val="0"/>
          <w:sz w:val="32"/>
          <w:szCs w:val="32"/>
        </w:rPr>
        <w:t>806万</w:t>
      </w:r>
      <w:r>
        <w:rPr>
          <w:rFonts w:eastAsia="仿宋_GB2312"/>
          <w:color w:val="000000" w:themeColor="text1"/>
          <w:kern w:val="0"/>
          <w:sz w:val="32"/>
          <w:szCs w:val="32"/>
        </w:rPr>
        <w:t>元，分别比2013年末</w:t>
      </w:r>
      <w:r>
        <w:rPr>
          <w:rFonts w:hint="eastAsia" w:eastAsia="仿宋_GB2312"/>
          <w:color w:val="000000" w:themeColor="text1"/>
          <w:kern w:val="0"/>
          <w:sz w:val="32"/>
          <w:szCs w:val="32"/>
        </w:rPr>
        <w:t>下降12.3</w:t>
      </w:r>
      <w:r>
        <w:rPr>
          <w:rFonts w:eastAsia="仿宋_GB2312"/>
          <w:color w:val="000000" w:themeColor="text1"/>
          <w:kern w:val="0"/>
          <w:sz w:val="32"/>
          <w:szCs w:val="32"/>
        </w:rPr>
        <w:t>%和</w:t>
      </w:r>
      <w:r>
        <w:rPr>
          <w:rFonts w:hint="eastAsia" w:eastAsia="仿宋_GB2312"/>
          <w:color w:val="000000" w:themeColor="text1"/>
          <w:kern w:val="0"/>
          <w:sz w:val="32"/>
          <w:szCs w:val="32"/>
        </w:rPr>
        <w:t>下降85.6</w:t>
      </w:r>
      <w:r>
        <w:rPr>
          <w:rFonts w:eastAsia="仿宋_GB2312"/>
          <w:color w:val="000000" w:themeColor="text1"/>
          <w:kern w:val="0"/>
          <w:sz w:val="32"/>
          <w:szCs w:val="32"/>
        </w:rPr>
        <w:t>%。负债合计</w:t>
      </w:r>
      <w:r>
        <w:rPr>
          <w:rFonts w:hint="eastAsia" w:eastAsia="仿宋_GB2312"/>
          <w:color w:val="000000" w:themeColor="text1"/>
          <w:kern w:val="0"/>
          <w:sz w:val="32"/>
          <w:szCs w:val="32"/>
        </w:rPr>
        <w:t>38463.7</w:t>
      </w:r>
      <w:r>
        <w:rPr>
          <w:rFonts w:eastAsia="仿宋_GB2312"/>
          <w:kern w:val="0"/>
          <w:sz w:val="32"/>
          <w:szCs w:val="32"/>
        </w:rPr>
        <w:t>万元。全年实现年营业收入</w:t>
      </w:r>
      <w:r>
        <w:rPr>
          <w:rFonts w:hint="eastAsia" w:eastAsia="仿宋_GB2312"/>
          <w:kern w:val="0"/>
          <w:sz w:val="32"/>
          <w:szCs w:val="32"/>
        </w:rPr>
        <w:t>15008.9</w:t>
      </w:r>
      <w:r>
        <w:rPr>
          <w:rFonts w:eastAsia="仿宋_GB2312"/>
          <w:kern w:val="0"/>
          <w:sz w:val="32"/>
          <w:szCs w:val="32"/>
        </w:rPr>
        <w:t>万元（详见表4-8）。</w:t>
      </w:r>
    </w:p>
    <w:p>
      <w:pPr>
        <w:widowControl/>
        <w:spacing w:line="620" w:lineRule="exact"/>
        <w:ind w:firstLine="640" w:firstLineChars="200"/>
        <w:rPr>
          <w:rFonts w:eastAsia="仿宋_GB2312"/>
          <w:kern w:val="0"/>
          <w:sz w:val="32"/>
          <w:szCs w:val="32"/>
        </w:rPr>
      </w:pPr>
    </w:p>
    <w:tbl>
      <w:tblPr>
        <w:tblStyle w:val="4"/>
        <w:tblW w:w="8222" w:type="dxa"/>
        <w:tblInd w:w="250" w:type="dxa"/>
        <w:tblLayout w:type="autofit"/>
        <w:tblCellMar>
          <w:top w:w="0" w:type="dxa"/>
          <w:left w:w="108" w:type="dxa"/>
          <w:bottom w:w="0" w:type="dxa"/>
          <w:right w:w="108" w:type="dxa"/>
        </w:tblCellMar>
      </w:tblPr>
      <w:tblGrid>
        <w:gridCol w:w="3260"/>
        <w:gridCol w:w="1701"/>
        <w:gridCol w:w="1701"/>
        <w:gridCol w:w="1560"/>
      </w:tblGrid>
      <w:tr>
        <w:tblPrEx>
          <w:tblCellMar>
            <w:top w:w="0" w:type="dxa"/>
            <w:left w:w="108" w:type="dxa"/>
            <w:bottom w:w="0" w:type="dxa"/>
            <w:right w:w="108" w:type="dxa"/>
          </w:tblCellMar>
        </w:tblPrEx>
        <w:trPr>
          <w:trHeight w:val="675" w:hRule="atLeast"/>
        </w:trPr>
        <w:tc>
          <w:tcPr>
            <w:tcW w:w="8222" w:type="dxa"/>
            <w:gridSpan w:val="4"/>
            <w:tcBorders>
              <w:top w:val="nil"/>
              <w:left w:val="nil"/>
              <w:bottom w:val="nil"/>
              <w:right w:val="nil"/>
            </w:tcBorders>
            <w:shd w:val="clear" w:color="000000" w:fill="FFFFFF"/>
            <w:vAlign w:val="center"/>
          </w:tcPr>
          <w:p>
            <w:pPr>
              <w:widowControl/>
              <w:jc w:val="center"/>
              <w:rPr>
                <w:b/>
                <w:bCs/>
                <w:color w:val="000000"/>
                <w:kern w:val="0"/>
                <w:sz w:val="24"/>
              </w:rPr>
            </w:pPr>
            <w:r>
              <w:rPr>
                <w:b/>
                <w:bCs/>
                <w:color w:val="000000"/>
                <w:kern w:val="0"/>
                <w:sz w:val="24"/>
              </w:rPr>
              <w:t>表4-8</w:t>
            </w:r>
            <w:r>
              <w:rPr>
                <w:rFonts w:hint="eastAsia" w:ascii="宋体" w:hAnsi="宋体"/>
                <w:b/>
                <w:bCs/>
                <w:color w:val="000000"/>
                <w:kern w:val="0"/>
                <w:sz w:val="24"/>
              </w:rPr>
              <w:t>　按行业中类分组的住宿和餐饮业企业法人单位主要经济指标</w:t>
            </w:r>
          </w:p>
        </w:tc>
      </w:tr>
      <w:tr>
        <w:tblPrEx>
          <w:tblCellMar>
            <w:top w:w="0" w:type="dxa"/>
            <w:left w:w="108" w:type="dxa"/>
            <w:bottom w:w="0" w:type="dxa"/>
            <w:right w:w="108" w:type="dxa"/>
          </w:tblCellMar>
        </w:tblPrEx>
        <w:trPr>
          <w:trHeight w:val="465" w:hRule="atLeast"/>
        </w:trPr>
        <w:tc>
          <w:tcPr>
            <w:tcW w:w="3260" w:type="dxa"/>
            <w:vMerge w:val="restart"/>
            <w:tcBorders>
              <w:top w:val="single" w:color="auto" w:sz="4" w:space="0"/>
              <w:left w:val="nil"/>
              <w:bottom w:val="single" w:color="auto" w:sz="8" w:space="0"/>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701" w:type="dxa"/>
            <w:tcBorders>
              <w:top w:val="single" w:color="auto" w:sz="4" w:space="0"/>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资产总计</w:t>
            </w:r>
          </w:p>
        </w:tc>
        <w:tc>
          <w:tcPr>
            <w:tcW w:w="1701" w:type="dxa"/>
            <w:tcBorders>
              <w:top w:val="single" w:color="auto" w:sz="4" w:space="0"/>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负债合计</w:t>
            </w:r>
          </w:p>
        </w:tc>
        <w:tc>
          <w:tcPr>
            <w:tcW w:w="1560" w:type="dxa"/>
            <w:tcBorders>
              <w:top w:val="single" w:color="auto" w:sz="4" w:space="0"/>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营业收入</w:t>
            </w:r>
          </w:p>
        </w:tc>
      </w:tr>
      <w:tr>
        <w:tblPrEx>
          <w:tblCellMar>
            <w:top w:w="0" w:type="dxa"/>
            <w:left w:w="108" w:type="dxa"/>
            <w:bottom w:w="0" w:type="dxa"/>
            <w:right w:w="108" w:type="dxa"/>
          </w:tblCellMar>
        </w:tblPrEx>
        <w:trPr>
          <w:trHeight w:val="405" w:hRule="atLeast"/>
        </w:trPr>
        <w:tc>
          <w:tcPr>
            <w:tcW w:w="3260" w:type="dxa"/>
            <w:vMerge w:val="continue"/>
            <w:tcBorders>
              <w:top w:val="single" w:color="auto" w:sz="4" w:space="0"/>
              <w:left w:val="nil"/>
              <w:bottom w:val="single" w:color="auto" w:sz="8" w:space="0"/>
              <w:right w:val="single" w:color="auto" w:sz="4" w:space="0"/>
            </w:tcBorders>
            <w:vAlign w:val="center"/>
          </w:tcPr>
          <w:p>
            <w:pPr>
              <w:widowControl/>
              <w:jc w:val="left"/>
              <w:rPr>
                <w:b/>
                <w:bCs/>
                <w:color w:val="000000"/>
                <w:kern w:val="0"/>
                <w:szCs w:val="21"/>
              </w:rPr>
            </w:pPr>
          </w:p>
        </w:tc>
        <w:tc>
          <w:tcPr>
            <w:tcW w:w="1701" w:type="dxa"/>
            <w:tcBorders>
              <w:top w:val="nil"/>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701" w:type="dxa"/>
            <w:tcBorders>
              <w:top w:val="nil"/>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560"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（万元）</w:t>
            </w:r>
          </w:p>
        </w:tc>
      </w:tr>
      <w:tr>
        <w:tblPrEx>
          <w:tblCellMar>
            <w:top w:w="0" w:type="dxa"/>
            <w:left w:w="108" w:type="dxa"/>
            <w:bottom w:w="0" w:type="dxa"/>
            <w:right w:w="108" w:type="dxa"/>
          </w:tblCellMar>
        </w:tblPrEx>
        <w:trPr>
          <w:trHeight w:val="435" w:hRule="atLeast"/>
        </w:trPr>
        <w:tc>
          <w:tcPr>
            <w:tcW w:w="3260" w:type="dxa"/>
            <w:tcBorders>
              <w:top w:val="single" w:color="auto" w:sz="4" w:space="0"/>
              <w:left w:val="nil"/>
              <w:bottom w:val="nil"/>
              <w:right w:val="single" w:color="auto" w:sz="4"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70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49549.3 </w:t>
            </w:r>
          </w:p>
        </w:tc>
        <w:tc>
          <w:tcPr>
            <w:tcW w:w="170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38463.7 </w:t>
            </w:r>
          </w:p>
        </w:tc>
        <w:tc>
          <w:tcPr>
            <w:tcW w:w="1560" w:type="dxa"/>
            <w:tcBorders>
              <w:top w:val="single" w:color="auto" w:sz="4" w:space="0"/>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15008.9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b/>
                <w:bCs/>
                <w:color w:val="000000"/>
                <w:kern w:val="0"/>
                <w:szCs w:val="21"/>
              </w:rPr>
            </w:pPr>
            <w:r>
              <w:rPr>
                <w:b/>
                <w:bCs/>
                <w:color w:val="000000"/>
                <w:kern w:val="0"/>
                <w:szCs w:val="21"/>
              </w:rPr>
              <w:t>住宿业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48743.3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37682.5 </w:t>
            </w:r>
          </w:p>
        </w:tc>
        <w:tc>
          <w:tcPr>
            <w:tcW w:w="1560"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13129.7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旅游饭店</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46829.0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37487.4 </w:t>
            </w:r>
          </w:p>
        </w:tc>
        <w:tc>
          <w:tcPr>
            <w:tcW w:w="156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12135.5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一般旅馆</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1252.0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150.0 </w:t>
            </w:r>
          </w:p>
        </w:tc>
        <w:tc>
          <w:tcPr>
            <w:tcW w:w="156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370.7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其他住宿业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662.3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45.1 </w:t>
            </w:r>
          </w:p>
        </w:tc>
        <w:tc>
          <w:tcPr>
            <w:tcW w:w="156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623.5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b/>
                <w:bCs/>
                <w:color w:val="000000"/>
                <w:kern w:val="0"/>
                <w:szCs w:val="21"/>
              </w:rPr>
            </w:pPr>
            <w:r>
              <w:rPr>
                <w:b/>
                <w:bCs/>
                <w:color w:val="000000"/>
                <w:kern w:val="0"/>
                <w:szCs w:val="21"/>
              </w:rPr>
              <w:t>餐饮业</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806.0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781.2 </w:t>
            </w:r>
          </w:p>
        </w:tc>
        <w:tc>
          <w:tcPr>
            <w:tcW w:w="1560"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 xml:space="preserve">1879.2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正餐服务</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301.4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351.2 </w:t>
            </w:r>
          </w:p>
        </w:tc>
        <w:tc>
          <w:tcPr>
            <w:tcW w:w="156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1486.7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快餐服务</w:t>
            </w:r>
          </w:p>
        </w:tc>
        <w:tc>
          <w:tcPr>
            <w:tcW w:w="1701" w:type="dxa"/>
            <w:tcBorders>
              <w:top w:val="nil"/>
              <w:left w:val="nil"/>
              <w:bottom w:val="nil"/>
              <w:right w:val="single" w:color="auto" w:sz="4"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1701" w:type="dxa"/>
            <w:tcBorders>
              <w:top w:val="nil"/>
              <w:left w:val="nil"/>
              <w:bottom w:val="nil"/>
              <w:right w:val="single" w:color="auto" w:sz="4"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1560"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饮料及冷饮服务</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276.6 </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260.9 </w:t>
            </w:r>
          </w:p>
        </w:tc>
        <w:tc>
          <w:tcPr>
            <w:tcW w:w="156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214.8 </w:t>
            </w:r>
          </w:p>
        </w:tc>
      </w:tr>
      <w:tr>
        <w:tblPrEx>
          <w:tblCellMar>
            <w:top w:w="0" w:type="dxa"/>
            <w:left w:w="108" w:type="dxa"/>
            <w:bottom w:w="0" w:type="dxa"/>
            <w:right w:w="108" w:type="dxa"/>
          </w:tblCellMar>
        </w:tblPrEx>
        <w:trPr>
          <w:trHeight w:val="435" w:hRule="atLeast"/>
        </w:trPr>
        <w:tc>
          <w:tcPr>
            <w:tcW w:w="3260" w:type="dxa"/>
            <w:tcBorders>
              <w:top w:val="nil"/>
              <w:left w:val="nil"/>
              <w:bottom w:val="nil"/>
              <w:right w:val="single" w:color="auto" w:sz="4" w:space="0"/>
            </w:tcBorders>
            <w:shd w:val="clear" w:color="auto" w:fill="auto"/>
            <w:vAlign w:val="center"/>
          </w:tcPr>
          <w:p>
            <w:pPr>
              <w:widowControl/>
              <w:rPr>
                <w:color w:val="000000"/>
                <w:kern w:val="0"/>
                <w:szCs w:val="21"/>
              </w:rPr>
            </w:pPr>
            <w:r>
              <w:rPr>
                <w:color w:val="000000"/>
                <w:kern w:val="0"/>
                <w:szCs w:val="21"/>
              </w:rPr>
              <w:t xml:space="preserve">    餐饮配送及外卖送餐服务</w:t>
            </w:r>
          </w:p>
        </w:tc>
        <w:tc>
          <w:tcPr>
            <w:tcW w:w="1701" w:type="dxa"/>
            <w:tcBorders>
              <w:top w:val="nil"/>
              <w:left w:val="nil"/>
              <w:bottom w:val="nil"/>
              <w:right w:val="single" w:color="auto" w:sz="4"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1701" w:type="dxa"/>
            <w:tcBorders>
              <w:top w:val="nil"/>
              <w:left w:val="nil"/>
              <w:bottom w:val="nil"/>
              <w:right w:val="single" w:color="auto" w:sz="4" w:space="0"/>
            </w:tcBorders>
            <w:shd w:val="clear" w:color="auto" w:fill="auto"/>
            <w:vAlign w:val="center"/>
          </w:tcPr>
          <w:p>
            <w:pPr>
              <w:widowControl/>
              <w:jc w:val="center"/>
              <w:rPr>
                <w:color w:val="000000"/>
                <w:kern w:val="0"/>
                <w:sz w:val="22"/>
                <w:szCs w:val="22"/>
              </w:rPr>
            </w:pPr>
            <w:r>
              <w:rPr>
                <w:color w:val="000000"/>
                <w:kern w:val="0"/>
                <w:sz w:val="22"/>
                <w:szCs w:val="22"/>
              </w:rPr>
              <w:t>　</w:t>
            </w:r>
          </w:p>
        </w:tc>
        <w:tc>
          <w:tcPr>
            <w:tcW w:w="1560"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　</w:t>
            </w:r>
          </w:p>
        </w:tc>
      </w:tr>
      <w:tr>
        <w:tblPrEx>
          <w:tblCellMar>
            <w:top w:w="0" w:type="dxa"/>
            <w:left w:w="108" w:type="dxa"/>
            <w:bottom w:w="0" w:type="dxa"/>
            <w:right w:w="108" w:type="dxa"/>
          </w:tblCellMar>
        </w:tblPrEx>
        <w:trPr>
          <w:trHeight w:val="435" w:hRule="atLeast"/>
        </w:trPr>
        <w:tc>
          <w:tcPr>
            <w:tcW w:w="3260" w:type="dxa"/>
            <w:tcBorders>
              <w:top w:val="nil"/>
              <w:left w:val="nil"/>
              <w:bottom w:val="single" w:color="auto" w:sz="4" w:space="0"/>
              <w:right w:val="single" w:color="auto" w:sz="4" w:space="0"/>
            </w:tcBorders>
            <w:shd w:val="clear" w:color="auto" w:fill="auto"/>
            <w:vAlign w:val="center"/>
          </w:tcPr>
          <w:p>
            <w:pPr>
              <w:widowControl/>
              <w:rPr>
                <w:color w:val="000000"/>
                <w:kern w:val="0"/>
                <w:szCs w:val="21"/>
              </w:rPr>
            </w:pPr>
            <w:r>
              <w:rPr>
                <w:color w:val="000000"/>
                <w:kern w:val="0"/>
                <w:szCs w:val="21"/>
              </w:rPr>
              <w:t>　  其他餐饮业</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228.0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169.1 </w:t>
            </w:r>
          </w:p>
        </w:tc>
        <w:tc>
          <w:tcPr>
            <w:tcW w:w="156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177.7 </w:t>
            </w:r>
          </w:p>
        </w:tc>
      </w:tr>
    </w:tbl>
    <w:p>
      <w:pPr>
        <w:spacing w:line="400" w:lineRule="exact"/>
        <w:ind w:firstLine="420" w:firstLineChars="200"/>
        <w:rPr>
          <w:szCs w:val="21"/>
        </w:rPr>
      </w:pPr>
      <w:r>
        <w:rPr>
          <w:szCs w:val="21"/>
        </w:rPr>
        <w:t>注：其它住宿业包含民宿服务、露营地服务等其它住宿业</w:t>
      </w:r>
    </w:p>
    <w:p>
      <w:pPr>
        <w:spacing w:line="620" w:lineRule="exact"/>
        <w:ind w:firstLine="640" w:firstLineChars="200"/>
        <w:rPr>
          <w:rFonts w:eastAsia="黑体"/>
          <w:sz w:val="32"/>
          <w:szCs w:val="32"/>
        </w:rPr>
      </w:pPr>
      <w:r>
        <w:rPr>
          <w:rFonts w:eastAsia="黑体"/>
          <w:sz w:val="32"/>
          <w:szCs w:val="32"/>
        </w:rPr>
        <w:t>四、信息传输、软件和信息技术服务业</w:t>
      </w:r>
    </w:p>
    <w:p>
      <w:pPr>
        <w:widowControl/>
        <w:spacing w:line="620" w:lineRule="exact"/>
        <w:ind w:firstLine="643" w:firstLineChars="200"/>
        <w:rPr>
          <w:rFonts w:eastAsia="楷体_GB2312"/>
          <w:b/>
          <w:kern w:val="0"/>
          <w:sz w:val="32"/>
          <w:szCs w:val="32"/>
        </w:rPr>
      </w:pPr>
      <w:r>
        <w:rPr>
          <w:rFonts w:eastAsia="楷体_GB2312"/>
          <w:b/>
          <w:kern w:val="0"/>
          <w:sz w:val="32"/>
          <w:szCs w:val="32"/>
        </w:rPr>
        <w:t>（一）企业法人单位数和从业人员。</w:t>
      </w:r>
    </w:p>
    <w:p>
      <w:pPr>
        <w:widowControl/>
        <w:spacing w:line="600" w:lineRule="exact"/>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共有信息传输、软件和信息技术服务业企业法人单位</w:t>
      </w:r>
      <w:r>
        <w:rPr>
          <w:rFonts w:hint="eastAsia" w:eastAsia="仿宋_GB2312"/>
          <w:kern w:val="0"/>
          <w:sz w:val="32"/>
          <w:szCs w:val="32"/>
        </w:rPr>
        <w:t>16</w:t>
      </w:r>
      <w:r>
        <w:rPr>
          <w:rFonts w:eastAsia="仿宋_GB2312"/>
          <w:kern w:val="0"/>
          <w:sz w:val="32"/>
          <w:szCs w:val="32"/>
        </w:rPr>
        <w:t>个，从业人员</w:t>
      </w:r>
      <w:r>
        <w:rPr>
          <w:rFonts w:hint="eastAsia" w:eastAsia="仿宋_GB2312"/>
          <w:color w:val="000000" w:themeColor="text1"/>
          <w:kern w:val="0"/>
          <w:sz w:val="32"/>
          <w:szCs w:val="32"/>
        </w:rPr>
        <w:t>192</w:t>
      </w:r>
      <w:r>
        <w:rPr>
          <w:rFonts w:eastAsia="仿宋_GB2312"/>
          <w:color w:val="000000" w:themeColor="text1"/>
          <w:kern w:val="0"/>
          <w:sz w:val="32"/>
          <w:szCs w:val="32"/>
        </w:rPr>
        <w:t>人</w:t>
      </w:r>
      <w:r>
        <w:rPr>
          <w:rFonts w:hint="eastAsia" w:eastAsia="仿宋_GB2312"/>
          <w:color w:val="000000" w:themeColor="text1"/>
          <w:kern w:val="0"/>
          <w:sz w:val="32"/>
          <w:szCs w:val="32"/>
        </w:rPr>
        <w:t>（</w:t>
      </w:r>
      <w:r>
        <w:rPr>
          <w:rFonts w:eastAsia="仿宋_GB2312"/>
          <w:color w:val="000000" w:themeColor="text1"/>
          <w:kern w:val="0"/>
          <w:sz w:val="32"/>
          <w:szCs w:val="32"/>
        </w:rPr>
        <w:t>2013年末信息传输、软件和信息技术服务业企业法人单位</w:t>
      </w:r>
      <w:r>
        <w:rPr>
          <w:rFonts w:hint="eastAsia" w:eastAsia="仿宋_GB2312"/>
          <w:color w:val="000000" w:themeColor="text1"/>
          <w:kern w:val="0"/>
          <w:sz w:val="32"/>
          <w:szCs w:val="32"/>
        </w:rPr>
        <w:t>0</w:t>
      </w:r>
      <w:r>
        <w:rPr>
          <w:rFonts w:eastAsia="仿宋_GB2312"/>
          <w:color w:val="000000" w:themeColor="text1"/>
          <w:kern w:val="0"/>
          <w:sz w:val="32"/>
          <w:szCs w:val="32"/>
        </w:rPr>
        <w:t>个</w:t>
      </w:r>
      <w:r>
        <w:rPr>
          <w:rFonts w:hint="eastAsia" w:eastAsia="仿宋_GB2312"/>
          <w:color w:val="000000" w:themeColor="text1"/>
          <w:kern w:val="0"/>
          <w:sz w:val="32"/>
          <w:szCs w:val="32"/>
        </w:rPr>
        <w:t>）</w:t>
      </w:r>
      <w:r>
        <w:rPr>
          <w:rFonts w:eastAsia="仿宋_GB2312"/>
          <w:color w:val="000000" w:themeColor="text1"/>
          <w:kern w:val="0"/>
          <w:sz w:val="32"/>
          <w:szCs w:val="32"/>
        </w:rPr>
        <w:t>（</w:t>
      </w:r>
      <w:r>
        <w:rPr>
          <w:rFonts w:eastAsia="仿宋_GB2312"/>
          <w:kern w:val="0"/>
          <w:sz w:val="32"/>
          <w:szCs w:val="32"/>
        </w:rPr>
        <w:t>详见表4-9）。</w:t>
      </w:r>
    </w:p>
    <w:tbl>
      <w:tblPr>
        <w:tblStyle w:val="4"/>
        <w:tblW w:w="8222" w:type="dxa"/>
        <w:tblInd w:w="250" w:type="dxa"/>
        <w:tblLayout w:type="autofit"/>
        <w:tblCellMar>
          <w:top w:w="0" w:type="dxa"/>
          <w:left w:w="108" w:type="dxa"/>
          <w:bottom w:w="0" w:type="dxa"/>
          <w:right w:w="108" w:type="dxa"/>
        </w:tblCellMar>
      </w:tblPr>
      <w:tblGrid>
        <w:gridCol w:w="4253"/>
        <w:gridCol w:w="1984"/>
        <w:gridCol w:w="1985"/>
      </w:tblGrid>
      <w:tr>
        <w:tblPrEx>
          <w:tblCellMar>
            <w:top w:w="0" w:type="dxa"/>
            <w:left w:w="108" w:type="dxa"/>
            <w:bottom w:w="0" w:type="dxa"/>
            <w:right w:w="108" w:type="dxa"/>
          </w:tblCellMar>
        </w:tblPrEx>
        <w:trPr>
          <w:trHeight w:val="1210" w:hRule="atLeast"/>
        </w:trPr>
        <w:tc>
          <w:tcPr>
            <w:tcW w:w="8222" w:type="dxa"/>
            <w:gridSpan w:val="3"/>
            <w:tcBorders>
              <w:top w:val="nil"/>
              <w:left w:val="nil"/>
              <w:bottom w:val="single" w:color="auto" w:sz="8" w:space="0"/>
              <w:right w:val="nil"/>
            </w:tcBorders>
            <w:shd w:val="clear" w:color="000000" w:fill="FFFFFF"/>
            <w:vAlign w:val="center"/>
          </w:tcPr>
          <w:p>
            <w:pPr>
              <w:widowControl/>
              <w:jc w:val="center"/>
              <w:rPr>
                <w:b/>
                <w:bCs/>
                <w:color w:val="000000"/>
                <w:kern w:val="0"/>
                <w:sz w:val="24"/>
              </w:rPr>
            </w:pPr>
            <w:r>
              <w:rPr>
                <w:rFonts w:hint="eastAsia" w:ascii="宋体" w:hAnsi="宋体"/>
                <w:b/>
                <w:bCs/>
                <w:color w:val="000000"/>
                <w:kern w:val="0"/>
                <w:sz w:val="24"/>
              </w:rPr>
              <w:t>表</w:t>
            </w:r>
            <w:r>
              <w:rPr>
                <w:b/>
                <w:bCs/>
                <w:color w:val="000000"/>
                <w:kern w:val="0"/>
                <w:sz w:val="24"/>
              </w:rPr>
              <w:t>4-9</w:t>
            </w:r>
            <w:r>
              <w:rPr>
                <w:rFonts w:hint="eastAsia" w:ascii="宋体" w:hAnsi="宋体"/>
                <w:b/>
                <w:bCs/>
                <w:color w:val="000000"/>
                <w:kern w:val="0"/>
                <w:sz w:val="24"/>
              </w:rPr>
              <w:t>　按行业大类分组的信息传输、软件和信息技术服务业企业法人单位和从业人员</w:t>
            </w:r>
          </w:p>
        </w:tc>
      </w:tr>
      <w:tr>
        <w:tblPrEx>
          <w:tblCellMar>
            <w:top w:w="0" w:type="dxa"/>
            <w:left w:w="108" w:type="dxa"/>
            <w:bottom w:w="0" w:type="dxa"/>
            <w:right w:w="108" w:type="dxa"/>
          </w:tblCellMar>
        </w:tblPrEx>
        <w:trPr>
          <w:trHeight w:val="570" w:hRule="atLeast"/>
        </w:trPr>
        <w:tc>
          <w:tcPr>
            <w:tcW w:w="4253" w:type="dxa"/>
            <w:vMerge w:val="restart"/>
            <w:tcBorders>
              <w:top w:val="single" w:color="auto" w:sz="8" w:space="0"/>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984" w:type="dxa"/>
            <w:tcBorders>
              <w:top w:val="single" w:color="auto" w:sz="8" w:space="0"/>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企业法人单位</w:t>
            </w:r>
          </w:p>
        </w:tc>
        <w:tc>
          <w:tcPr>
            <w:tcW w:w="1985" w:type="dxa"/>
            <w:tcBorders>
              <w:top w:val="single" w:color="auto" w:sz="8" w:space="0"/>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从业人员</w:t>
            </w:r>
          </w:p>
        </w:tc>
      </w:tr>
      <w:tr>
        <w:tblPrEx>
          <w:tblCellMar>
            <w:top w:w="0" w:type="dxa"/>
            <w:left w:w="108" w:type="dxa"/>
            <w:bottom w:w="0" w:type="dxa"/>
            <w:right w:w="108" w:type="dxa"/>
          </w:tblCellMar>
        </w:tblPrEx>
        <w:trPr>
          <w:trHeight w:val="285" w:hRule="atLeast"/>
        </w:trPr>
        <w:tc>
          <w:tcPr>
            <w:tcW w:w="4253" w:type="dxa"/>
            <w:vMerge w:val="continue"/>
            <w:tcBorders>
              <w:top w:val="single" w:color="auto" w:sz="8" w:space="0"/>
              <w:left w:val="nil"/>
              <w:bottom w:val="single" w:color="auto" w:sz="8" w:space="0"/>
              <w:right w:val="single" w:color="auto" w:sz="8" w:space="0"/>
            </w:tcBorders>
            <w:vAlign w:val="center"/>
          </w:tcPr>
          <w:p>
            <w:pPr>
              <w:widowControl/>
              <w:jc w:val="left"/>
              <w:rPr>
                <w:b/>
                <w:bCs/>
                <w:color w:val="000000"/>
                <w:kern w:val="0"/>
                <w:szCs w:val="21"/>
              </w:rPr>
            </w:pPr>
          </w:p>
        </w:tc>
        <w:tc>
          <w:tcPr>
            <w:tcW w:w="1984"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（个）</w:t>
            </w:r>
          </w:p>
        </w:tc>
        <w:tc>
          <w:tcPr>
            <w:tcW w:w="1985"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465" w:hRule="atLeast"/>
        </w:trPr>
        <w:tc>
          <w:tcPr>
            <w:tcW w:w="4253"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984"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16</w:t>
            </w:r>
          </w:p>
        </w:tc>
        <w:tc>
          <w:tcPr>
            <w:tcW w:w="1985"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192</w:t>
            </w:r>
          </w:p>
        </w:tc>
      </w:tr>
      <w:tr>
        <w:tblPrEx>
          <w:tblCellMar>
            <w:top w:w="0" w:type="dxa"/>
            <w:left w:w="108" w:type="dxa"/>
            <w:bottom w:w="0" w:type="dxa"/>
            <w:right w:w="108" w:type="dxa"/>
          </w:tblCellMar>
        </w:tblPrEx>
        <w:trPr>
          <w:trHeight w:val="465" w:hRule="atLeast"/>
        </w:trPr>
        <w:tc>
          <w:tcPr>
            <w:tcW w:w="4253" w:type="dxa"/>
            <w:tcBorders>
              <w:top w:val="nil"/>
              <w:left w:val="nil"/>
              <w:bottom w:val="nil"/>
              <w:right w:val="single" w:color="auto" w:sz="8" w:space="0"/>
            </w:tcBorders>
            <w:shd w:val="clear" w:color="auto" w:fill="auto"/>
            <w:vAlign w:val="center"/>
          </w:tcPr>
          <w:p>
            <w:pPr>
              <w:widowControl/>
              <w:jc w:val="left"/>
              <w:rPr>
                <w:color w:val="000000"/>
                <w:kern w:val="0"/>
                <w:szCs w:val="21"/>
              </w:rPr>
            </w:pPr>
            <w:r>
              <w:rPr>
                <w:color w:val="000000"/>
                <w:kern w:val="0"/>
                <w:szCs w:val="21"/>
              </w:rPr>
              <w:t>　电信、广播电视和卫星传输服务</w:t>
            </w:r>
          </w:p>
        </w:tc>
        <w:tc>
          <w:tcPr>
            <w:tcW w:w="1984"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1</w:t>
            </w:r>
          </w:p>
        </w:tc>
        <w:tc>
          <w:tcPr>
            <w:tcW w:w="1985"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54</w:t>
            </w:r>
          </w:p>
        </w:tc>
      </w:tr>
      <w:tr>
        <w:tblPrEx>
          <w:tblCellMar>
            <w:top w:w="0" w:type="dxa"/>
            <w:left w:w="108" w:type="dxa"/>
            <w:bottom w:w="0" w:type="dxa"/>
            <w:right w:w="108" w:type="dxa"/>
          </w:tblCellMar>
        </w:tblPrEx>
        <w:trPr>
          <w:trHeight w:val="465" w:hRule="atLeast"/>
        </w:trPr>
        <w:tc>
          <w:tcPr>
            <w:tcW w:w="4253" w:type="dxa"/>
            <w:tcBorders>
              <w:top w:val="nil"/>
              <w:left w:val="nil"/>
              <w:bottom w:val="nil"/>
              <w:right w:val="single" w:color="auto" w:sz="8" w:space="0"/>
            </w:tcBorders>
            <w:shd w:val="clear" w:color="auto" w:fill="auto"/>
            <w:vAlign w:val="center"/>
          </w:tcPr>
          <w:p>
            <w:pPr>
              <w:widowControl/>
              <w:jc w:val="left"/>
              <w:rPr>
                <w:color w:val="000000"/>
                <w:kern w:val="0"/>
                <w:szCs w:val="21"/>
              </w:rPr>
            </w:pPr>
            <w:r>
              <w:rPr>
                <w:color w:val="000000"/>
                <w:kern w:val="0"/>
                <w:szCs w:val="21"/>
              </w:rPr>
              <w:t>　互联网和相关服务</w:t>
            </w:r>
          </w:p>
        </w:tc>
        <w:tc>
          <w:tcPr>
            <w:tcW w:w="1984"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4</w:t>
            </w:r>
          </w:p>
        </w:tc>
        <w:tc>
          <w:tcPr>
            <w:tcW w:w="1985" w:type="dxa"/>
            <w:tcBorders>
              <w:top w:val="nil"/>
              <w:left w:val="nil"/>
              <w:bottom w:val="nil"/>
              <w:right w:val="nil"/>
            </w:tcBorders>
            <w:shd w:val="clear" w:color="auto" w:fill="auto"/>
            <w:vAlign w:val="center"/>
          </w:tcPr>
          <w:p>
            <w:pPr>
              <w:widowControl/>
              <w:jc w:val="center"/>
              <w:rPr>
                <w:color w:val="000000"/>
                <w:kern w:val="0"/>
                <w:szCs w:val="21"/>
              </w:rPr>
            </w:pPr>
          </w:p>
        </w:tc>
      </w:tr>
      <w:tr>
        <w:tblPrEx>
          <w:tblCellMar>
            <w:top w:w="0" w:type="dxa"/>
            <w:left w:w="108" w:type="dxa"/>
            <w:bottom w:w="0" w:type="dxa"/>
            <w:right w:w="108" w:type="dxa"/>
          </w:tblCellMar>
        </w:tblPrEx>
        <w:trPr>
          <w:trHeight w:val="465" w:hRule="atLeast"/>
        </w:trPr>
        <w:tc>
          <w:tcPr>
            <w:tcW w:w="4253"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软件和信息技术服务业</w:t>
            </w:r>
          </w:p>
        </w:tc>
        <w:tc>
          <w:tcPr>
            <w:tcW w:w="1984"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Cs w:val="21"/>
              </w:rPr>
            </w:pPr>
            <w:r>
              <w:rPr>
                <w:color w:val="000000"/>
                <w:kern w:val="0"/>
                <w:szCs w:val="21"/>
              </w:rPr>
              <w:t>11</w:t>
            </w:r>
          </w:p>
        </w:tc>
        <w:tc>
          <w:tcPr>
            <w:tcW w:w="1985" w:type="dxa"/>
            <w:tcBorders>
              <w:top w:val="nil"/>
              <w:left w:val="nil"/>
              <w:bottom w:val="single" w:color="auto" w:sz="8" w:space="0"/>
              <w:right w:val="nil"/>
            </w:tcBorders>
            <w:shd w:val="clear" w:color="auto" w:fill="auto"/>
            <w:vAlign w:val="center"/>
          </w:tcPr>
          <w:p>
            <w:pPr>
              <w:widowControl/>
              <w:jc w:val="center"/>
              <w:rPr>
                <w:color w:val="000000"/>
                <w:kern w:val="0"/>
                <w:szCs w:val="21"/>
              </w:rPr>
            </w:pPr>
            <w:r>
              <w:rPr>
                <w:color w:val="000000"/>
                <w:kern w:val="0"/>
                <w:szCs w:val="21"/>
              </w:rPr>
              <w:t>138</w:t>
            </w:r>
          </w:p>
        </w:tc>
      </w:tr>
    </w:tbl>
    <w:p>
      <w:pPr>
        <w:widowControl/>
        <w:spacing w:line="600" w:lineRule="exact"/>
        <w:ind w:firstLine="640" w:firstLineChars="200"/>
        <w:rPr>
          <w:rFonts w:eastAsia="仿宋_GB2312"/>
          <w:kern w:val="0"/>
          <w:sz w:val="32"/>
          <w:szCs w:val="32"/>
        </w:rPr>
      </w:pPr>
    </w:p>
    <w:p>
      <w:pPr>
        <w:widowControl/>
        <w:spacing w:line="620" w:lineRule="exact"/>
        <w:ind w:firstLine="640" w:firstLineChars="200"/>
        <w:rPr>
          <w:rFonts w:eastAsia="仿宋_GB2312"/>
          <w:kern w:val="0"/>
          <w:sz w:val="32"/>
          <w:szCs w:val="32"/>
        </w:rPr>
      </w:pPr>
      <w:r>
        <w:rPr>
          <w:rFonts w:eastAsia="仿宋_GB2312"/>
          <w:kern w:val="0"/>
          <w:sz w:val="32"/>
          <w:szCs w:val="32"/>
        </w:rPr>
        <w:t>在信息传输、软件和信息技术服务业企业法人单位中，内资企业占</w:t>
      </w:r>
      <w:r>
        <w:rPr>
          <w:rFonts w:hint="eastAsia" w:eastAsia="仿宋_GB2312"/>
          <w:kern w:val="0"/>
          <w:sz w:val="32"/>
          <w:szCs w:val="32"/>
        </w:rPr>
        <w:t>100</w:t>
      </w:r>
      <w:r>
        <w:rPr>
          <w:rFonts w:eastAsia="仿宋_GB2312"/>
          <w:kern w:val="0"/>
          <w:sz w:val="32"/>
          <w:szCs w:val="32"/>
        </w:rPr>
        <w:t>%，外商投资企业占</w:t>
      </w:r>
      <w:r>
        <w:rPr>
          <w:rFonts w:hint="eastAsia" w:eastAsia="仿宋_GB2312"/>
          <w:kern w:val="0"/>
          <w:sz w:val="32"/>
          <w:szCs w:val="32"/>
        </w:rPr>
        <w:t>0</w:t>
      </w:r>
      <w:r>
        <w:rPr>
          <w:rFonts w:eastAsia="仿宋_GB2312"/>
          <w:kern w:val="0"/>
          <w:sz w:val="32"/>
          <w:szCs w:val="32"/>
        </w:rPr>
        <w:t xml:space="preserve">%。 </w:t>
      </w:r>
    </w:p>
    <w:p>
      <w:pPr>
        <w:widowControl/>
        <w:spacing w:line="620" w:lineRule="exact"/>
        <w:ind w:firstLine="640" w:firstLineChars="200"/>
        <w:rPr>
          <w:rFonts w:eastAsia="仿宋_GB2312"/>
          <w:kern w:val="0"/>
          <w:sz w:val="32"/>
          <w:szCs w:val="32"/>
        </w:rPr>
      </w:pPr>
      <w:r>
        <w:rPr>
          <w:rFonts w:eastAsia="仿宋_GB2312"/>
          <w:kern w:val="0"/>
          <w:sz w:val="32"/>
          <w:szCs w:val="32"/>
        </w:rPr>
        <w:t>在信息传输、软件和信息技术服务业企业法人单位从业人员中，内资企业占</w:t>
      </w:r>
      <w:r>
        <w:rPr>
          <w:rFonts w:hint="eastAsia" w:eastAsia="仿宋_GB2312"/>
          <w:kern w:val="0"/>
          <w:sz w:val="32"/>
          <w:szCs w:val="32"/>
        </w:rPr>
        <w:t>100</w:t>
      </w:r>
      <w:r>
        <w:rPr>
          <w:rFonts w:eastAsia="仿宋_GB2312"/>
          <w:kern w:val="0"/>
          <w:sz w:val="32"/>
          <w:szCs w:val="32"/>
        </w:rPr>
        <w:t>%，外商投资企业占</w:t>
      </w:r>
      <w:r>
        <w:rPr>
          <w:rFonts w:hint="eastAsia" w:eastAsia="仿宋_GB2312"/>
          <w:kern w:val="0"/>
          <w:sz w:val="32"/>
          <w:szCs w:val="32"/>
        </w:rPr>
        <w:t>0</w:t>
      </w:r>
      <w:r>
        <w:rPr>
          <w:rFonts w:eastAsia="仿宋_GB2312"/>
          <w:kern w:val="0"/>
          <w:sz w:val="32"/>
          <w:szCs w:val="32"/>
        </w:rPr>
        <w:t>%（详见表4-10）。</w:t>
      </w:r>
    </w:p>
    <w:tbl>
      <w:tblPr>
        <w:tblStyle w:val="4"/>
        <w:tblW w:w="7229" w:type="dxa"/>
        <w:tblInd w:w="817" w:type="dxa"/>
        <w:tblLayout w:type="autofit"/>
        <w:tblCellMar>
          <w:top w:w="0" w:type="dxa"/>
          <w:left w:w="108" w:type="dxa"/>
          <w:bottom w:w="0" w:type="dxa"/>
          <w:right w:w="108" w:type="dxa"/>
        </w:tblCellMar>
      </w:tblPr>
      <w:tblGrid>
        <w:gridCol w:w="3260"/>
        <w:gridCol w:w="2127"/>
        <w:gridCol w:w="1842"/>
      </w:tblGrid>
      <w:tr>
        <w:tblPrEx>
          <w:tblCellMar>
            <w:top w:w="0" w:type="dxa"/>
            <w:left w:w="108" w:type="dxa"/>
            <w:bottom w:w="0" w:type="dxa"/>
            <w:right w:w="108" w:type="dxa"/>
          </w:tblCellMar>
        </w:tblPrEx>
        <w:trPr>
          <w:trHeight w:val="1197" w:hRule="atLeast"/>
        </w:trPr>
        <w:tc>
          <w:tcPr>
            <w:tcW w:w="7229" w:type="dxa"/>
            <w:gridSpan w:val="3"/>
            <w:tcBorders>
              <w:top w:val="nil"/>
              <w:left w:val="nil"/>
              <w:bottom w:val="nil"/>
              <w:right w:val="nil"/>
            </w:tcBorders>
            <w:shd w:val="clear" w:color="000000" w:fill="FFFFFF"/>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表</w:t>
            </w:r>
            <w:r>
              <w:rPr>
                <w:b/>
                <w:bCs/>
                <w:color w:val="000000"/>
                <w:kern w:val="0"/>
                <w:sz w:val="24"/>
              </w:rPr>
              <w:t>4-10</w:t>
            </w:r>
            <w:r>
              <w:rPr>
                <w:rFonts w:hint="eastAsia" w:ascii="宋体" w:hAnsi="宋体" w:cs="宋体"/>
                <w:b/>
                <w:bCs/>
                <w:color w:val="000000"/>
                <w:kern w:val="0"/>
                <w:sz w:val="24"/>
              </w:rPr>
              <w:t>　按登记注册类型分组的信息传输、软件和信息技术服务业企业法人单位和从业人员</w:t>
            </w:r>
          </w:p>
        </w:tc>
      </w:tr>
      <w:tr>
        <w:tblPrEx>
          <w:tblCellMar>
            <w:top w:w="0" w:type="dxa"/>
            <w:left w:w="108" w:type="dxa"/>
            <w:bottom w:w="0" w:type="dxa"/>
            <w:right w:w="108" w:type="dxa"/>
          </w:tblCellMar>
        </w:tblPrEx>
        <w:trPr>
          <w:trHeight w:val="750" w:hRule="atLeast"/>
        </w:trPr>
        <w:tc>
          <w:tcPr>
            <w:tcW w:w="3260" w:type="dxa"/>
            <w:tcBorders>
              <w:top w:val="single" w:color="000000" w:sz="8" w:space="0"/>
              <w:left w:val="nil"/>
              <w:bottom w:val="single" w:color="000000" w:sz="8" w:space="0"/>
              <w:right w:val="single" w:color="000000" w:sz="8" w:space="0"/>
            </w:tcBorders>
            <w:shd w:val="clear" w:color="auto" w:fill="auto"/>
            <w:vAlign w:val="center"/>
          </w:tcPr>
          <w:p>
            <w:pPr>
              <w:widowControl/>
              <w:jc w:val="left"/>
              <w:rPr>
                <w:color w:val="000000"/>
                <w:kern w:val="0"/>
                <w:sz w:val="20"/>
                <w:szCs w:val="20"/>
              </w:rPr>
            </w:pPr>
            <w:r>
              <w:rPr>
                <w:color w:val="000000"/>
                <w:kern w:val="0"/>
                <w:sz w:val="20"/>
                <w:szCs w:val="20"/>
              </w:rPr>
              <w:t>　</w:t>
            </w:r>
          </w:p>
        </w:tc>
        <w:tc>
          <w:tcPr>
            <w:tcW w:w="2127"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b/>
                <w:bCs/>
                <w:color w:val="000000"/>
                <w:kern w:val="0"/>
                <w:szCs w:val="21"/>
              </w:rPr>
            </w:pPr>
            <w:r>
              <w:rPr>
                <w:b/>
                <w:bCs/>
                <w:color w:val="000000"/>
                <w:kern w:val="0"/>
                <w:szCs w:val="21"/>
              </w:rPr>
              <w:t>企业法人单位</w:t>
            </w:r>
          </w:p>
          <w:p>
            <w:pPr>
              <w:widowControl/>
              <w:jc w:val="center"/>
              <w:rPr>
                <w:b/>
                <w:bCs/>
                <w:color w:val="000000"/>
                <w:kern w:val="0"/>
                <w:szCs w:val="21"/>
              </w:rPr>
            </w:pPr>
            <w:r>
              <w:rPr>
                <w:b/>
                <w:bCs/>
                <w:color w:val="000000"/>
                <w:kern w:val="0"/>
                <w:szCs w:val="21"/>
              </w:rPr>
              <w:t>（个）</w:t>
            </w:r>
          </w:p>
        </w:tc>
        <w:tc>
          <w:tcPr>
            <w:tcW w:w="1842" w:type="dxa"/>
            <w:tcBorders>
              <w:top w:val="single" w:color="000000" w:sz="8" w:space="0"/>
              <w:left w:val="nil"/>
              <w:bottom w:val="single" w:color="000000" w:sz="8" w:space="0"/>
              <w:right w:val="single" w:color="FFFFFF" w:sz="8" w:space="0"/>
            </w:tcBorders>
            <w:shd w:val="clear" w:color="auto" w:fill="auto"/>
            <w:vAlign w:val="center"/>
          </w:tcPr>
          <w:p>
            <w:pPr>
              <w:widowControl/>
              <w:jc w:val="center"/>
              <w:rPr>
                <w:b/>
                <w:bCs/>
                <w:color w:val="000000"/>
                <w:kern w:val="0"/>
                <w:szCs w:val="21"/>
              </w:rPr>
            </w:pPr>
            <w:r>
              <w:rPr>
                <w:b/>
                <w:bCs/>
                <w:color w:val="000000"/>
                <w:kern w:val="0"/>
                <w:szCs w:val="21"/>
              </w:rPr>
              <w:t>从业人员</w:t>
            </w:r>
          </w:p>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127" w:type="dxa"/>
            <w:tcBorders>
              <w:top w:val="nil"/>
              <w:left w:val="nil"/>
              <w:bottom w:val="nil"/>
              <w:right w:val="single" w:color="000000" w:sz="8" w:space="0"/>
            </w:tcBorders>
            <w:shd w:val="clear" w:color="auto" w:fill="auto"/>
            <w:vAlign w:val="center"/>
          </w:tcPr>
          <w:p>
            <w:pPr>
              <w:widowControl/>
              <w:jc w:val="center"/>
              <w:rPr>
                <w:b/>
                <w:bCs/>
                <w:color w:val="000000"/>
                <w:kern w:val="0"/>
                <w:szCs w:val="21"/>
              </w:rPr>
            </w:pPr>
            <w:r>
              <w:rPr>
                <w:b/>
                <w:bCs/>
                <w:color w:val="000000"/>
                <w:kern w:val="0"/>
                <w:szCs w:val="21"/>
              </w:rPr>
              <w:t>16</w:t>
            </w:r>
          </w:p>
        </w:tc>
        <w:tc>
          <w:tcPr>
            <w:tcW w:w="1842" w:type="dxa"/>
            <w:tcBorders>
              <w:top w:val="nil"/>
              <w:left w:val="nil"/>
              <w:bottom w:val="nil"/>
              <w:right w:val="single" w:color="FFFFFF" w:sz="8" w:space="0"/>
            </w:tcBorders>
            <w:shd w:val="clear" w:color="auto" w:fill="auto"/>
            <w:vAlign w:val="center"/>
          </w:tcPr>
          <w:p>
            <w:pPr>
              <w:widowControl/>
              <w:jc w:val="center"/>
              <w:rPr>
                <w:b/>
                <w:bCs/>
                <w:color w:val="000000"/>
                <w:kern w:val="0"/>
                <w:szCs w:val="21"/>
              </w:rPr>
            </w:pPr>
            <w:r>
              <w:rPr>
                <w:b/>
                <w:bCs/>
                <w:color w:val="000000"/>
                <w:kern w:val="0"/>
                <w:szCs w:val="21"/>
              </w:rPr>
              <w:t>192</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rPr>
                <w:b/>
                <w:bCs/>
                <w:color w:val="000000"/>
                <w:kern w:val="0"/>
                <w:szCs w:val="21"/>
              </w:rPr>
            </w:pPr>
            <w:r>
              <w:rPr>
                <w:b/>
                <w:bCs/>
                <w:color w:val="000000"/>
                <w:kern w:val="0"/>
                <w:szCs w:val="21"/>
              </w:rPr>
              <w:t>内资企业</w:t>
            </w:r>
          </w:p>
        </w:tc>
        <w:tc>
          <w:tcPr>
            <w:tcW w:w="2127" w:type="dxa"/>
            <w:tcBorders>
              <w:top w:val="nil"/>
              <w:left w:val="nil"/>
              <w:bottom w:val="nil"/>
              <w:right w:val="single" w:color="000000" w:sz="8" w:space="0"/>
            </w:tcBorders>
            <w:shd w:val="clear" w:color="auto" w:fill="auto"/>
            <w:vAlign w:val="center"/>
          </w:tcPr>
          <w:p>
            <w:pPr>
              <w:widowControl/>
              <w:jc w:val="center"/>
              <w:rPr>
                <w:color w:val="000000"/>
                <w:kern w:val="0"/>
                <w:szCs w:val="21"/>
              </w:rPr>
            </w:pPr>
            <w:r>
              <w:rPr>
                <w:color w:val="000000"/>
                <w:kern w:val="0"/>
                <w:szCs w:val="21"/>
              </w:rPr>
              <w:t>16</w:t>
            </w:r>
          </w:p>
        </w:tc>
        <w:tc>
          <w:tcPr>
            <w:tcW w:w="1842" w:type="dxa"/>
            <w:tcBorders>
              <w:top w:val="nil"/>
              <w:left w:val="nil"/>
              <w:bottom w:val="nil"/>
              <w:right w:val="single" w:color="FFFFFF" w:sz="8" w:space="0"/>
            </w:tcBorders>
            <w:shd w:val="clear" w:color="auto" w:fill="auto"/>
            <w:vAlign w:val="center"/>
          </w:tcPr>
          <w:p>
            <w:pPr>
              <w:widowControl/>
              <w:jc w:val="center"/>
              <w:rPr>
                <w:color w:val="000000"/>
                <w:kern w:val="0"/>
                <w:szCs w:val="21"/>
              </w:rPr>
            </w:pPr>
            <w:r>
              <w:rPr>
                <w:color w:val="000000"/>
                <w:kern w:val="0"/>
                <w:szCs w:val="21"/>
              </w:rPr>
              <w:t>192</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rPr>
                <w:color w:val="000000"/>
                <w:kern w:val="0"/>
                <w:szCs w:val="21"/>
              </w:rPr>
            </w:pPr>
            <w:r>
              <w:rPr>
                <w:color w:val="000000"/>
                <w:kern w:val="0"/>
                <w:szCs w:val="21"/>
              </w:rPr>
              <w:t>　　国有企业</w:t>
            </w:r>
          </w:p>
        </w:tc>
        <w:tc>
          <w:tcPr>
            <w:tcW w:w="2127" w:type="dxa"/>
            <w:tcBorders>
              <w:top w:val="nil"/>
              <w:left w:val="nil"/>
              <w:bottom w:val="nil"/>
              <w:right w:val="single" w:color="000000" w:sz="8" w:space="0"/>
            </w:tcBorders>
            <w:shd w:val="clear" w:color="auto" w:fill="auto"/>
            <w:vAlign w:val="center"/>
          </w:tcPr>
          <w:p>
            <w:pPr>
              <w:widowControl/>
              <w:jc w:val="center"/>
              <w:rPr>
                <w:color w:val="000000"/>
                <w:kern w:val="0"/>
                <w:szCs w:val="21"/>
              </w:rPr>
            </w:pPr>
            <w:r>
              <w:rPr>
                <w:color w:val="000000"/>
                <w:kern w:val="0"/>
                <w:szCs w:val="21"/>
              </w:rPr>
              <w:t>1</w:t>
            </w:r>
          </w:p>
        </w:tc>
        <w:tc>
          <w:tcPr>
            <w:tcW w:w="1842" w:type="dxa"/>
            <w:tcBorders>
              <w:top w:val="nil"/>
              <w:left w:val="nil"/>
              <w:bottom w:val="nil"/>
              <w:right w:val="single" w:color="FFFFFF" w:sz="8" w:space="0"/>
            </w:tcBorders>
            <w:shd w:val="clear" w:color="auto" w:fill="auto"/>
            <w:vAlign w:val="center"/>
          </w:tcPr>
          <w:p>
            <w:pPr>
              <w:widowControl/>
              <w:jc w:val="center"/>
              <w:rPr>
                <w:color w:val="000000"/>
                <w:kern w:val="0"/>
                <w:szCs w:val="21"/>
              </w:rPr>
            </w:pPr>
            <w:r>
              <w:rPr>
                <w:color w:val="000000"/>
                <w:kern w:val="0"/>
                <w:szCs w:val="21"/>
              </w:rPr>
              <w:t>54</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rPr>
                <w:color w:val="000000"/>
                <w:kern w:val="0"/>
                <w:szCs w:val="21"/>
              </w:rPr>
            </w:pPr>
            <w:r>
              <w:rPr>
                <w:color w:val="000000"/>
                <w:kern w:val="0"/>
                <w:szCs w:val="21"/>
              </w:rPr>
              <w:t>　　集体企业</w:t>
            </w:r>
          </w:p>
        </w:tc>
        <w:tc>
          <w:tcPr>
            <w:tcW w:w="2127" w:type="dxa"/>
            <w:tcBorders>
              <w:top w:val="nil"/>
              <w:left w:val="nil"/>
              <w:bottom w:val="nil"/>
              <w:right w:val="single" w:color="000000" w:sz="8" w:space="0"/>
            </w:tcBorders>
            <w:shd w:val="clear" w:color="auto" w:fill="auto"/>
            <w:vAlign w:val="center"/>
          </w:tcPr>
          <w:p>
            <w:pPr>
              <w:widowControl/>
              <w:jc w:val="center"/>
              <w:rPr>
                <w:color w:val="000000"/>
                <w:kern w:val="0"/>
                <w:szCs w:val="21"/>
              </w:rPr>
            </w:pPr>
            <w:r>
              <w:rPr>
                <w:color w:val="000000"/>
                <w:kern w:val="0"/>
                <w:szCs w:val="21"/>
              </w:rPr>
              <w:t>　</w:t>
            </w:r>
          </w:p>
        </w:tc>
        <w:tc>
          <w:tcPr>
            <w:tcW w:w="1842" w:type="dxa"/>
            <w:tcBorders>
              <w:top w:val="nil"/>
              <w:left w:val="nil"/>
              <w:bottom w:val="nil"/>
              <w:right w:val="single" w:color="FFFFFF" w:sz="8" w:space="0"/>
            </w:tcBorders>
            <w:shd w:val="clear" w:color="auto" w:fill="auto"/>
            <w:vAlign w:val="center"/>
          </w:tcPr>
          <w:p>
            <w:pPr>
              <w:widowControl/>
              <w:jc w:val="center"/>
              <w:rPr>
                <w:color w:val="000000"/>
                <w:kern w:val="0"/>
                <w:szCs w:val="21"/>
              </w:rPr>
            </w:pPr>
            <w:r>
              <w:rPr>
                <w:color w:val="000000"/>
                <w:kern w:val="0"/>
                <w:szCs w:val="21"/>
              </w:rPr>
              <w:t>　</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rPr>
                <w:color w:val="000000"/>
                <w:kern w:val="0"/>
                <w:szCs w:val="21"/>
              </w:rPr>
            </w:pPr>
            <w:r>
              <w:rPr>
                <w:color w:val="000000"/>
                <w:kern w:val="0"/>
                <w:szCs w:val="21"/>
              </w:rPr>
              <w:t>　　有限责任公司</w:t>
            </w:r>
          </w:p>
        </w:tc>
        <w:tc>
          <w:tcPr>
            <w:tcW w:w="2127" w:type="dxa"/>
            <w:tcBorders>
              <w:top w:val="nil"/>
              <w:left w:val="nil"/>
              <w:bottom w:val="nil"/>
              <w:right w:val="single" w:color="000000"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842" w:type="dxa"/>
            <w:tcBorders>
              <w:top w:val="nil"/>
              <w:left w:val="nil"/>
              <w:bottom w:val="nil"/>
              <w:right w:val="single" w:color="FFFFFF"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56</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rPr>
                <w:color w:val="000000"/>
                <w:kern w:val="0"/>
                <w:szCs w:val="21"/>
              </w:rPr>
            </w:pPr>
            <w:r>
              <w:rPr>
                <w:color w:val="000000"/>
                <w:kern w:val="0"/>
                <w:szCs w:val="21"/>
              </w:rPr>
              <w:t>　　股份有限公司</w:t>
            </w:r>
          </w:p>
        </w:tc>
        <w:tc>
          <w:tcPr>
            <w:tcW w:w="2127" w:type="dxa"/>
            <w:tcBorders>
              <w:top w:val="nil"/>
              <w:left w:val="nil"/>
              <w:bottom w:val="nil"/>
              <w:right w:val="single" w:color="000000" w:sz="8" w:space="0"/>
            </w:tcBorders>
            <w:shd w:val="clear" w:color="auto" w:fill="auto"/>
            <w:vAlign w:val="center"/>
          </w:tcPr>
          <w:p>
            <w:pPr>
              <w:widowControl/>
              <w:jc w:val="center"/>
              <w:rPr>
                <w:color w:val="000000"/>
                <w:kern w:val="0"/>
                <w:szCs w:val="21"/>
              </w:rPr>
            </w:pPr>
            <w:r>
              <w:rPr>
                <w:color w:val="000000"/>
                <w:kern w:val="0"/>
                <w:szCs w:val="21"/>
              </w:rPr>
              <w:t>　</w:t>
            </w:r>
          </w:p>
        </w:tc>
        <w:tc>
          <w:tcPr>
            <w:tcW w:w="1842" w:type="dxa"/>
            <w:tcBorders>
              <w:top w:val="nil"/>
              <w:left w:val="nil"/>
              <w:bottom w:val="nil"/>
              <w:right w:val="single" w:color="FFFFFF" w:sz="8" w:space="0"/>
            </w:tcBorders>
            <w:shd w:val="clear" w:color="auto" w:fill="auto"/>
            <w:vAlign w:val="center"/>
          </w:tcPr>
          <w:p>
            <w:pPr>
              <w:widowControl/>
              <w:jc w:val="center"/>
              <w:rPr>
                <w:color w:val="000000"/>
                <w:kern w:val="0"/>
                <w:szCs w:val="21"/>
              </w:rPr>
            </w:pPr>
            <w:r>
              <w:rPr>
                <w:color w:val="000000"/>
                <w:kern w:val="0"/>
                <w:szCs w:val="21"/>
              </w:rPr>
              <w:t>　</w:t>
            </w:r>
          </w:p>
        </w:tc>
      </w:tr>
      <w:tr>
        <w:tblPrEx>
          <w:tblCellMar>
            <w:top w:w="0" w:type="dxa"/>
            <w:left w:w="108" w:type="dxa"/>
            <w:bottom w:w="0" w:type="dxa"/>
            <w:right w:w="108" w:type="dxa"/>
          </w:tblCellMar>
        </w:tblPrEx>
        <w:trPr>
          <w:trHeight w:val="390" w:hRule="atLeast"/>
        </w:trPr>
        <w:tc>
          <w:tcPr>
            <w:tcW w:w="3260" w:type="dxa"/>
            <w:tcBorders>
              <w:top w:val="nil"/>
              <w:left w:val="nil"/>
              <w:bottom w:val="nil"/>
              <w:right w:val="single" w:color="000000" w:sz="8" w:space="0"/>
            </w:tcBorders>
            <w:shd w:val="clear" w:color="auto" w:fill="auto"/>
            <w:vAlign w:val="center"/>
          </w:tcPr>
          <w:p>
            <w:pPr>
              <w:widowControl/>
              <w:rPr>
                <w:color w:val="000000"/>
                <w:kern w:val="0"/>
                <w:szCs w:val="21"/>
              </w:rPr>
            </w:pPr>
            <w:r>
              <w:rPr>
                <w:color w:val="000000"/>
                <w:kern w:val="0"/>
                <w:szCs w:val="21"/>
              </w:rPr>
              <w:t>　　私营企业</w:t>
            </w:r>
          </w:p>
        </w:tc>
        <w:tc>
          <w:tcPr>
            <w:tcW w:w="2127" w:type="dxa"/>
            <w:tcBorders>
              <w:top w:val="nil"/>
              <w:left w:val="nil"/>
              <w:bottom w:val="nil"/>
              <w:right w:val="single" w:color="000000" w:sz="8" w:space="0"/>
            </w:tcBorders>
            <w:shd w:val="clear" w:color="auto" w:fill="auto"/>
            <w:vAlign w:val="center"/>
          </w:tcPr>
          <w:p>
            <w:pPr>
              <w:widowControl/>
              <w:jc w:val="center"/>
              <w:rPr>
                <w:color w:val="000000"/>
                <w:kern w:val="0"/>
                <w:szCs w:val="21"/>
              </w:rPr>
            </w:pPr>
            <w:r>
              <w:rPr>
                <w:color w:val="000000"/>
                <w:kern w:val="0"/>
                <w:szCs w:val="21"/>
              </w:rPr>
              <w:t>12</w:t>
            </w:r>
          </w:p>
        </w:tc>
        <w:tc>
          <w:tcPr>
            <w:tcW w:w="1842" w:type="dxa"/>
            <w:tcBorders>
              <w:top w:val="nil"/>
              <w:left w:val="nil"/>
              <w:bottom w:val="nil"/>
              <w:right w:val="single" w:color="FFFFFF" w:sz="8" w:space="0"/>
            </w:tcBorders>
            <w:shd w:val="clear" w:color="auto" w:fill="auto"/>
            <w:vAlign w:val="center"/>
          </w:tcPr>
          <w:p>
            <w:pPr>
              <w:widowControl/>
              <w:jc w:val="center"/>
              <w:rPr>
                <w:color w:val="000000"/>
                <w:kern w:val="0"/>
                <w:szCs w:val="21"/>
              </w:rPr>
            </w:pPr>
            <w:r>
              <w:rPr>
                <w:color w:val="000000"/>
                <w:kern w:val="0"/>
                <w:szCs w:val="21"/>
              </w:rPr>
              <w:t>82</w:t>
            </w:r>
          </w:p>
        </w:tc>
      </w:tr>
      <w:tr>
        <w:tblPrEx>
          <w:tblCellMar>
            <w:top w:w="0" w:type="dxa"/>
            <w:left w:w="108" w:type="dxa"/>
            <w:bottom w:w="0" w:type="dxa"/>
            <w:right w:w="108" w:type="dxa"/>
          </w:tblCellMar>
        </w:tblPrEx>
        <w:trPr>
          <w:trHeight w:val="390" w:hRule="atLeast"/>
        </w:trPr>
        <w:tc>
          <w:tcPr>
            <w:tcW w:w="3260" w:type="dxa"/>
            <w:tcBorders>
              <w:top w:val="nil"/>
              <w:left w:val="nil"/>
              <w:bottom w:val="single" w:color="000000" w:sz="8" w:space="0"/>
              <w:right w:val="single" w:color="000000" w:sz="8" w:space="0"/>
            </w:tcBorders>
            <w:shd w:val="clear" w:color="auto" w:fill="auto"/>
            <w:vAlign w:val="center"/>
          </w:tcPr>
          <w:p>
            <w:pPr>
              <w:widowControl/>
              <w:rPr>
                <w:b/>
                <w:bCs/>
                <w:color w:val="000000"/>
                <w:kern w:val="0"/>
                <w:szCs w:val="21"/>
              </w:rPr>
            </w:pPr>
            <w:r>
              <w:rPr>
                <w:b/>
                <w:bCs/>
                <w:color w:val="000000"/>
                <w:kern w:val="0"/>
                <w:szCs w:val="21"/>
              </w:rPr>
              <w:t>外商投资企业</w:t>
            </w:r>
          </w:p>
        </w:tc>
        <w:tc>
          <w:tcPr>
            <w:tcW w:w="21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842" w:type="dxa"/>
            <w:tcBorders>
              <w:top w:val="nil"/>
              <w:left w:val="nil"/>
              <w:bottom w:val="single" w:color="000000" w:sz="8" w:space="0"/>
              <w:right w:val="single" w:color="FFFFFF"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r>
    </w:tbl>
    <w:p>
      <w:pPr>
        <w:widowControl/>
        <w:spacing w:line="620" w:lineRule="exact"/>
        <w:ind w:firstLine="643" w:firstLineChars="200"/>
        <w:rPr>
          <w:rFonts w:eastAsia="楷体_GB2312"/>
          <w:b/>
          <w:kern w:val="0"/>
          <w:sz w:val="32"/>
          <w:szCs w:val="32"/>
        </w:rPr>
      </w:pPr>
    </w:p>
    <w:p>
      <w:pPr>
        <w:widowControl/>
        <w:spacing w:line="620" w:lineRule="exact"/>
        <w:ind w:firstLine="643" w:firstLineChars="200"/>
        <w:rPr>
          <w:rFonts w:eastAsia="楷体_GB2312"/>
          <w:b/>
          <w:kern w:val="0"/>
          <w:sz w:val="32"/>
          <w:szCs w:val="32"/>
        </w:rPr>
      </w:pPr>
      <w:r>
        <w:rPr>
          <w:rFonts w:eastAsia="楷体_GB2312"/>
          <w:b/>
          <w:kern w:val="0"/>
          <w:sz w:val="32"/>
          <w:szCs w:val="32"/>
        </w:rPr>
        <w:t>（二）主要经济指标。</w:t>
      </w:r>
    </w:p>
    <w:p>
      <w:pPr>
        <w:widowControl/>
        <w:spacing w:line="620" w:lineRule="exact"/>
        <w:ind w:firstLine="640" w:firstLineChars="200"/>
        <w:rPr>
          <w:rFonts w:eastAsia="仿宋_GB2312"/>
          <w:kern w:val="0"/>
          <w:sz w:val="32"/>
          <w:szCs w:val="32"/>
        </w:rPr>
      </w:pPr>
      <w:r>
        <w:rPr>
          <w:rFonts w:eastAsia="仿宋_GB2312"/>
          <w:color w:val="000000" w:themeColor="text1"/>
          <w:kern w:val="0"/>
          <w:sz w:val="32"/>
          <w:szCs w:val="32"/>
        </w:rPr>
        <w:t>2018年末，信息传输、软件和信息技术服务业企业法人单位资产总计</w:t>
      </w:r>
      <w:r>
        <w:rPr>
          <w:rFonts w:hint="eastAsia" w:eastAsia="仿宋_GB2312"/>
          <w:color w:val="000000" w:themeColor="text1"/>
          <w:kern w:val="0"/>
          <w:sz w:val="32"/>
          <w:szCs w:val="32"/>
        </w:rPr>
        <w:t>12293.5</w:t>
      </w:r>
      <w:r>
        <w:rPr>
          <w:rFonts w:eastAsia="仿宋_GB2312"/>
          <w:color w:val="000000" w:themeColor="text1"/>
          <w:kern w:val="0"/>
          <w:sz w:val="32"/>
          <w:szCs w:val="32"/>
        </w:rPr>
        <w:t>万元。</w:t>
      </w:r>
      <w:r>
        <w:rPr>
          <w:rFonts w:eastAsia="仿宋_GB2312"/>
          <w:kern w:val="0"/>
          <w:sz w:val="32"/>
          <w:szCs w:val="32"/>
        </w:rPr>
        <w:t>负债合计</w:t>
      </w:r>
      <w:r>
        <w:rPr>
          <w:rFonts w:hint="eastAsia" w:eastAsia="仿宋_GB2312"/>
          <w:kern w:val="0"/>
          <w:sz w:val="32"/>
          <w:szCs w:val="32"/>
        </w:rPr>
        <w:t>9499.6</w:t>
      </w:r>
      <w:r>
        <w:rPr>
          <w:rFonts w:eastAsia="仿宋_GB2312"/>
          <w:kern w:val="0"/>
          <w:sz w:val="32"/>
          <w:szCs w:val="32"/>
        </w:rPr>
        <w:t>万元。全年实现营业收入</w:t>
      </w:r>
      <w:r>
        <w:rPr>
          <w:rFonts w:hint="eastAsia" w:eastAsia="仿宋_GB2312"/>
          <w:kern w:val="0"/>
          <w:sz w:val="32"/>
          <w:szCs w:val="32"/>
        </w:rPr>
        <w:t>6625.6</w:t>
      </w:r>
      <w:r>
        <w:rPr>
          <w:rFonts w:eastAsia="仿宋_GB2312"/>
          <w:kern w:val="0"/>
          <w:sz w:val="32"/>
          <w:szCs w:val="32"/>
        </w:rPr>
        <w:t>万元（详见表4-11）。</w:t>
      </w:r>
    </w:p>
    <w:tbl>
      <w:tblPr>
        <w:tblStyle w:val="4"/>
        <w:tblW w:w="8662" w:type="dxa"/>
        <w:tblInd w:w="93" w:type="dxa"/>
        <w:tblLayout w:type="autofit"/>
        <w:tblCellMar>
          <w:top w:w="0" w:type="dxa"/>
          <w:left w:w="108" w:type="dxa"/>
          <w:bottom w:w="0" w:type="dxa"/>
          <w:right w:w="108" w:type="dxa"/>
        </w:tblCellMar>
      </w:tblPr>
      <w:tblGrid>
        <w:gridCol w:w="3843"/>
        <w:gridCol w:w="1701"/>
        <w:gridCol w:w="1701"/>
        <w:gridCol w:w="1417"/>
      </w:tblGrid>
      <w:tr>
        <w:tblPrEx>
          <w:tblCellMar>
            <w:top w:w="0" w:type="dxa"/>
            <w:left w:w="108" w:type="dxa"/>
            <w:bottom w:w="0" w:type="dxa"/>
            <w:right w:w="108" w:type="dxa"/>
          </w:tblCellMar>
        </w:tblPrEx>
        <w:trPr>
          <w:trHeight w:val="1168" w:hRule="atLeast"/>
        </w:trPr>
        <w:tc>
          <w:tcPr>
            <w:tcW w:w="8662" w:type="dxa"/>
            <w:gridSpan w:val="4"/>
            <w:tcBorders>
              <w:top w:val="nil"/>
              <w:left w:val="nil"/>
              <w:bottom w:val="nil"/>
              <w:right w:val="nil"/>
            </w:tcBorders>
            <w:shd w:val="clear" w:color="000000" w:fill="FFFFFF"/>
            <w:vAlign w:val="center"/>
          </w:tcPr>
          <w:p>
            <w:pPr>
              <w:widowControl/>
              <w:jc w:val="center"/>
              <w:rPr>
                <w:b/>
                <w:bCs/>
                <w:color w:val="000000"/>
                <w:kern w:val="0"/>
                <w:sz w:val="24"/>
              </w:rPr>
            </w:pPr>
            <w:r>
              <w:rPr>
                <w:rFonts w:hint="eastAsia" w:ascii="宋体" w:hAnsi="宋体"/>
                <w:b/>
                <w:bCs/>
                <w:color w:val="000000"/>
                <w:kern w:val="0"/>
                <w:sz w:val="24"/>
              </w:rPr>
              <w:t>表</w:t>
            </w:r>
            <w:r>
              <w:rPr>
                <w:b/>
                <w:bCs/>
                <w:color w:val="000000"/>
                <w:kern w:val="0"/>
                <w:sz w:val="24"/>
              </w:rPr>
              <w:t>4-11</w:t>
            </w:r>
            <w:r>
              <w:rPr>
                <w:rFonts w:hint="eastAsia" w:ascii="宋体" w:hAnsi="宋体"/>
                <w:b/>
                <w:bCs/>
                <w:color w:val="000000"/>
                <w:kern w:val="0"/>
                <w:sz w:val="24"/>
              </w:rPr>
              <w:t>　按行业大类分组的信息传输、软件和信息技术服务业企业法人单位主要经济指标</w:t>
            </w:r>
          </w:p>
        </w:tc>
      </w:tr>
      <w:tr>
        <w:tblPrEx>
          <w:tblCellMar>
            <w:top w:w="0" w:type="dxa"/>
            <w:left w:w="108" w:type="dxa"/>
            <w:bottom w:w="0" w:type="dxa"/>
            <w:right w:w="108" w:type="dxa"/>
          </w:tblCellMar>
        </w:tblPrEx>
        <w:trPr>
          <w:trHeight w:val="420" w:hRule="atLeast"/>
        </w:trPr>
        <w:tc>
          <w:tcPr>
            <w:tcW w:w="3843" w:type="dxa"/>
            <w:vMerge w:val="restart"/>
            <w:tcBorders>
              <w:top w:val="single" w:color="auto" w:sz="8" w:space="0"/>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701" w:type="dxa"/>
            <w:tcBorders>
              <w:top w:val="single" w:color="auto" w:sz="8" w:space="0"/>
              <w:left w:val="nil"/>
              <w:bottom w:val="nil"/>
              <w:right w:val="single" w:color="auto" w:sz="8" w:space="0"/>
            </w:tcBorders>
            <w:shd w:val="clear" w:color="auto" w:fill="auto"/>
            <w:vAlign w:val="center"/>
          </w:tcPr>
          <w:p>
            <w:pPr>
              <w:widowControl/>
              <w:jc w:val="center"/>
              <w:rPr>
                <w:color w:val="000000"/>
                <w:kern w:val="0"/>
                <w:sz w:val="24"/>
              </w:rPr>
            </w:pPr>
            <w:r>
              <w:rPr>
                <w:color w:val="000000"/>
                <w:kern w:val="0"/>
                <w:sz w:val="24"/>
              </w:rPr>
              <w:t>资产总计</w:t>
            </w:r>
          </w:p>
        </w:tc>
        <w:tc>
          <w:tcPr>
            <w:tcW w:w="1701" w:type="dxa"/>
            <w:tcBorders>
              <w:top w:val="single" w:color="auto" w:sz="8" w:space="0"/>
              <w:left w:val="nil"/>
              <w:bottom w:val="nil"/>
              <w:right w:val="single" w:color="auto" w:sz="8" w:space="0"/>
            </w:tcBorders>
            <w:shd w:val="clear" w:color="auto" w:fill="auto"/>
            <w:vAlign w:val="center"/>
          </w:tcPr>
          <w:p>
            <w:pPr>
              <w:widowControl/>
              <w:jc w:val="center"/>
              <w:rPr>
                <w:color w:val="000000"/>
                <w:kern w:val="0"/>
                <w:sz w:val="24"/>
              </w:rPr>
            </w:pPr>
            <w:r>
              <w:rPr>
                <w:color w:val="000000"/>
                <w:kern w:val="0"/>
                <w:sz w:val="24"/>
              </w:rPr>
              <w:t>负债合计</w:t>
            </w:r>
          </w:p>
        </w:tc>
        <w:tc>
          <w:tcPr>
            <w:tcW w:w="1417" w:type="dxa"/>
            <w:tcBorders>
              <w:top w:val="single" w:color="auto" w:sz="8" w:space="0"/>
              <w:left w:val="nil"/>
              <w:bottom w:val="nil"/>
              <w:right w:val="nil"/>
            </w:tcBorders>
            <w:shd w:val="clear" w:color="auto" w:fill="auto"/>
            <w:vAlign w:val="center"/>
          </w:tcPr>
          <w:p>
            <w:pPr>
              <w:widowControl/>
              <w:jc w:val="center"/>
              <w:rPr>
                <w:color w:val="000000"/>
                <w:kern w:val="0"/>
                <w:sz w:val="24"/>
              </w:rPr>
            </w:pPr>
            <w:r>
              <w:rPr>
                <w:color w:val="000000"/>
                <w:kern w:val="0"/>
                <w:sz w:val="24"/>
              </w:rPr>
              <w:t>营业收入</w:t>
            </w:r>
          </w:p>
        </w:tc>
      </w:tr>
      <w:tr>
        <w:tblPrEx>
          <w:tblCellMar>
            <w:top w:w="0" w:type="dxa"/>
            <w:left w:w="108" w:type="dxa"/>
            <w:bottom w:w="0" w:type="dxa"/>
            <w:right w:w="108" w:type="dxa"/>
          </w:tblCellMar>
        </w:tblPrEx>
        <w:trPr>
          <w:trHeight w:val="330" w:hRule="atLeast"/>
        </w:trPr>
        <w:tc>
          <w:tcPr>
            <w:tcW w:w="3843" w:type="dxa"/>
            <w:vMerge w:val="continue"/>
            <w:tcBorders>
              <w:top w:val="single" w:color="auto" w:sz="8" w:space="0"/>
              <w:left w:val="nil"/>
              <w:bottom w:val="nil"/>
              <w:right w:val="single" w:color="auto" w:sz="8" w:space="0"/>
            </w:tcBorders>
            <w:vAlign w:val="center"/>
          </w:tcPr>
          <w:p>
            <w:pPr>
              <w:widowControl/>
              <w:jc w:val="left"/>
              <w:rPr>
                <w:b/>
                <w:bCs/>
                <w:color w:val="000000"/>
                <w:kern w:val="0"/>
                <w:szCs w:val="21"/>
              </w:rPr>
            </w:pPr>
          </w:p>
        </w:tc>
        <w:tc>
          <w:tcPr>
            <w:tcW w:w="1701" w:type="dxa"/>
            <w:tcBorders>
              <w:top w:val="nil"/>
              <w:left w:val="nil"/>
              <w:bottom w:val="nil"/>
              <w:right w:val="single" w:color="auto" w:sz="8" w:space="0"/>
            </w:tcBorders>
            <w:shd w:val="clear" w:color="auto" w:fill="auto"/>
            <w:vAlign w:val="center"/>
          </w:tcPr>
          <w:p>
            <w:pPr>
              <w:widowControl/>
              <w:jc w:val="center"/>
              <w:rPr>
                <w:color w:val="000000"/>
                <w:kern w:val="0"/>
                <w:sz w:val="24"/>
              </w:rPr>
            </w:pPr>
            <w:r>
              <w:rPr>
                <w:color w:val="000000"/>
                <w:kern w:val="0"/>
                <w:sz w:val="24"/>
              </w:rPr>
              <w:t>（万元）</w:t>
            </w:r>
          </w:p>
        </w:tc>
        <w:tc>
          <w:tcPr>
            <w:tcW w:w="1701" w:type="dxa"/>
            <w:tcBorders>
              <w:top w:val="nil"/>
              <w:left w:val="nil"/>
              <w:bottom w:val="nil"/>
              <w:right w:val="single" w:color="auto" w:sz="8" w:space="0"/>
            </w:tcBorders>
            <w:shd w:val="clear" w:color="auto" w:fill="auto"/>
            <w:vAlign w:val="center"/>
          </w:tcPr>
          <w:p>
            <w:pPr>
              <w:widowControl/>
              <w:jc w:val="center"/>
              <w:rPr>
                <w:color w:val="000000"/>
                <w:kern w:val="0"/>
                <w:sz w:val="24"/>
              </w:rPr>
            </w:pPr>
            <w:r>
              <w:rPr>
                <w:color w:val="000000"/>
                <w:kern w:val="0"/>
                <w:sz w:val="24"/>
              </w:rPr>
              <w:t>（万元）</w:t>
            </w:r>
          </w:p>
        </w:tc>
        <w:tc>
          <w:tcPr>
            <w:tcW w:w="1417" w:type="dxa"/>
            <w:tcBorders>
              <w:top w:val="nil"/>
              <w:left w:val="nil"/>
              <w:bottom w:val="nil"/>
              <w:right w:val="nil"/>
            </w:tcBorders>
            <w:shd w:val="clear" w:color="auto" w:fill="auto"/>
            <w:vAlign w:val="center"/>
          </w:tcPr>
          <w:p>
            <w:pPr>
              <w:widowControl/>
              <w:jc w:val="center"/>
              <w:rPr>
                <w:color w:val="000000"/>
                <w:kern w:val="0"/>
                <w:sz w:val="24"/>
              </w:rPr>
            </w:pPr>
            <w:r>
              <w:rPr>
                <w:color w:val="000000"/>
                <w:kern w:val="0"/>
                <w:sz w:val="24"/>
              </w:rPr>
              <w:t>（万元）</w:t>
            </w:r>
          </w:p>
        </w:tc>
      </w:tr>
      <w:tr>
        <w:tblPrEx>
          <w:tblCellMar>
            <w:top w:w="0" w:type="dxa"/>
            <w:left w:w="108" w:type="dxa"/>
            <w:bottom w:w="0" w:type="dxa"/>
            <w:right w:w="108" w:type="dxa"/>
          </w:tblCellMar>
        </w:tblPrEx>
        <w:trPr>
          <w:trHeight w:val="405" w:hRule="atLeast"/>
        </w:trPr>
        <w:tc>
          <w:tcPr>
            <w:tcW w:w="3843" w:type="dxa"/>
            <w:tcBorders>
              <w:top w:val="single" w:color="auto" w:sz="8" w:space="0"/>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701" w:type="dxa"/>
            <w:tcBorders>
              <w:top w:val="single" w:color="auto" w:sz="8" w:space="0"/>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12293.5</w:t>
            </w:r>
          </w:p>
        </w:tc>
        <w:tc>
          <w:tcPr>
            <w:tcW w:w="1701" w:type="dxa"/>
            <w:tcBorders>
              <w:top w:val="single" w:color="auto" w:sz="8" w:space="0"/>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9499.6</w:t>
            </w:r>
          </w:p>
        </w:tc>
        <w:tc>
          <w:tcPr>
            <w:tcW w:w="1417" w:type="dxa"/>
            <w:tcBorders>
              <w:top w:val="single" w:color="auto" w:sz="8" w:space="0"/>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6625.6</w:t>
            </w:r>
          </w:p>
        </w:tc>
      </w:tr>
      <w:tr>
        <w:tblPrEx>
          <w:tblCellMar>
            <w:top w:w="0" w:type="dxa"/>
            <w:left w:w="108" w:type="dxa"/>
            <w:bottom w:w="0" w:type="dxa"/>
            <w:right w:w="108" w:type="dxa"/>
          </w:tblCellMar>
        </w:tblPrEx>
        <w:trPr>
          <w:trHeight w:val="405" w:hRule="atLeast"/>
        </w:trPr>
        <w:tc>
          <w:tcPr>
            <w:tcW w:w="3843"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电信、广播电视和卫星传输服务</w:t>
            </w:r>
          </w:p>
        </w:tc>
        <w:tc>
          <w:tcPr>
            <w:tcW w:w="1701" w:type="dxa"/>
            <w:tcBorders>
              <w:top w:val="nil"/>
              <w:left w:val="nil"/>
              <w:bottom w:val="nil"/>
              <w:right w:val="single" w:color="auto" w:sz="8"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3279.7</w:t>
            </w:r>
          </w:p>
        </w:tc>
        <w:tc>
          <w:tcPr>
            <w:tcW w:w="1701" w:type="dxa"/>
            <w:tcBorders>
              <w:top w:val="nil"/>
              <w:left w:val="nil"/>
              <w:bottom w:val="nil"/>
              <w:right w:val="single" w:color="auto" w:sz="8"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1232.5</w:t>
            </w:r>
          </w:p>
        </w:tc>
        <w:tc>
          <w:tcPr>
            <w:tcW w:w="1417"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907.7</w:t>
            </w:r>
          </w:p>
        </w:tc>
      </w:tr>
      <w:tr>
        <w:tblPrEx>
          <w:tblCellMar>
            <w:top w:w="0" w:type="dxa"/>
            <w:left w:w="108" w:type="dxa"/>
            <w:bottom w:w="0" w:type="dxa"/>
            <w:right w:w="108" w:type="dxa"/>
          </w:tblCellMar>
        </w:tblPrEx>
        <w:trPr>
          <w:trHeight w:val="405" w:hRule="atLeast"/>
        </w:trPr>
        <w:tc>
          <w:tcPr>
            <w:tcW w:w="3843"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互联网和相关服务</w:t>
            </w:r>
          </w:p>
        </w:tc>
        <w:tc>
          <w:tcPr>
            <w:tcW w:w="1701"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　</w:t>
            </w:r>
          </w:p>
        </w:tc>
        <w:tc>
          <w:tcPr>
            <w:tcW w:w="1701"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　</w:t>
            </w:r>
          </w:p>
        </w:tc>
        <w:tc>
          <w:tcPr>
            <w:tcW w:w="1417"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　</w:t>
            </w:r>
          </w:p>
        </w:tc>
      </w:tr>
      <w:tr>
        <w:tblPrEx>
          <w:tblCellMar>
            <w:top w:w="0" w:type="dxa"/>
            <w:left w:w="108" w:type="dxa"/>
            <w:bottom w:w="0" w:type="dxa"/>
            <w:right w:w="108" w:type="dxa"/>
          </w:tblCellMar>
        </w:tblPrEx>
        <w:trPr>
          <w:trHeight w:val="405" w:hRule="atLeast"/>
        </w:trPr>
        <w:tc>
          <w:tcPr>
            <w:tcW w:w="3843" w:type="dxa"/>
            <w:tcBorders>
              <w:top w:val="nil"/>
              <w:left w:val="nil"/>
              <w:bottom w:val="single" w:color="auto" w:sz="8" w:space="0"/>
              <w:right w:val="single" w:color="auto" w:sz="8" w:space="0"/>
            </w:tcBorders>
            <w:shd w:val="clear" w:color="auto" w:fill="auto"/>
            <w:vAlign w:val="center"/>
          </w:tcPr>
          <w:p>
            <w:pPr>
              <w:widowControl/>
              <w:rPr>
                <w:color w:val="000000"/>
                <w:kern w:val="0"/>
                <w:szCs w:val="21"/>
              </w:rPr>
            </w:pPr>
            <w:r>
              <w:rPr>
                <w:color w:val="000000"/>
                <w:kern w:val="0"/>
                <w:szCs w:val="21"/>
              </w:rPr>
              <w:t>　软件和信息技术服务业</w:t>
            </w:r>
          </w:p>
        </w:tc>
        <w:tc>
          <w:tcPr>
            <w:tcW w:w="1701"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Cs w:val="21"/>
              </w:rPr>
            </w:pPr>
            <w:r>
              <w:rPr>
                <w:color w:val="000000"/>
                <w:kern w:val="0"/>
                <w:szCs w:val="21"/>
              </w:rPr>
              <w:t>9013.8</w:t>
            </w:r>
          </w:p>
        </w:tc>
        <w:tc>
          <w:tcPr>
            <w:tcW w:w="1701"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Cs w:val="21"/>
              </w:rPr>
            </w:pPr>
            <w:r>
              <w:rPr>
                <w:color w:val="000000"/>
                <w:kern w:val="0"/>
                <w:szCs w:val="21"/>
              </w:rPr>
              <w:t>8267.1</w:t>
            </w:r>
          </w:p>
        </w:tc>
        <w:tc>
          <w:tcPr>
            <w:tcW w:w="1417" w:type="dxa"/>
            <w:tcBorders>
              <w:top w:val="nil"/>
              <w:left w:val="nil"/>
              <w:bottom w:val="single" w:color="auto" w:sz="8" w:space="0"/>
              <w:right w:val="nil"/>
            </w:tcBorders>
            <w:shd w:val="clear" w:color="auto" w:fill="auto"/>
            <w:vAlign w:val="center"/>
          </w:tcPr>
          <w:p>
            <w:pPr>
              <w:widowControl/>
              <w:jc w:val="center"/>
              <w:rPr>
                <w:color w:val="000000"/>
                <w:kern w:val="0"/>
                <w:szCs w:val="21"/>
              </w:rPr>
            </w:pPr>
            <w:r>
              <w:rPr>
                <w:color w:val="000000"/>
                <w:kern w:val="0"/>
                <w:szCs w:val="21"/>
              </w:rPr>
              <w:t>5717.9</w:t>
            </w:r>
          </w:p>
        </w:tc>
      </w:tr>
    </w:tbl>
    <w:p>
      <w:pPr>
        <w:widowControl/>
        <w:spacing w:line="620" w:lineRule="exact"/>
        <w:ind w:firstLine="640" w:firstLineChars="200"/>
        <w:rPr>
          <w:rFonts w:eastAsia="仿宋_GB2312"/>
          <w:kern w:val="0"/>
          <w:sz w:val="32"/>
          <w:szCs w:val="32"/>
        </w:rPr>
      </w:pPr>
    </w:p>
    <w:p>
      <w:pPr>
        <w:widowControl/>
        <w:spacing w:line="620" w:lineRule="exact"/>
        <w:ind w:firstLine="640" w:firstLineChars="200"/>
        <w:jc w:val="left"/>
        <w:rPr>
          <w:rFonts w:eastAsia="黑体"/>
          <w:kern w:val="0"/>
          <w:sz w:val="32"/>
          <w:szCs w:val="32"/>
        </w:rPr>
      </w:pPr>
      <w:r>
        <w:rPr>
          <w:rFonts w:eastAsia="黑体"/>
          <w:kern w:val="0"/>
          <w:sz w:val="32"/>
          <w:szCs w:val="32"/>
        </w:rPr>
        <w:t>五、金融业</w:t>
      </w:r>
    </w:p>
    <w:p>
      <w:pPr>
        <w:widowControl/>
        <w:spacing w:line="620" w:lineRule="exact"/>
        <w:ind w:firstLine="643" w:firstLineChars="200"/>
        <w:rPr>
          <w:rFonts w:eastAsia="楷体_GB2312"/>
          <w:b/>
          <w:kern w:val="0"/>
          <w:sz w:val="32"/>
          <w:szCs w:val="32"/>
        </w:rPr>
      </w:pPr>
      <w:r>
        <w:rPr>
          <w:rFonts w:eastAsia="楷体_GB2312"/>
          <w:b/>
          <w:kern w:val="0"/>
          <w:sz w:val="32"/>
          <w:szCs w:val="32"/>
        </w:rPr>
        <w:t>（一）企业法人单位数和从业人员。</w:t>
      </w:r>
    </w:p>
    <w:p>
      <w:pPr>
        <w:widowControl/>
        <w:spacing w:line="620" w:lineRule="exact"/>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共有金融业企业法人单位</w:t>
      </w:r>
      <w:r>
        <w:rPr>
          <w:rFonts w:hint="eastAsia" w:eastAsia="仿宋_GB2312"/>
          <w:kern w:val="0"/>
          <w:sz w:val="32"/>
          <w:szCs w:val="32"/>
        </w:rPr>
        <w:t>2</w:t>
      </w:r>
      <w:r>
        <w:rPr>
          <w:rFonts w:eastAsia="仿宋_GB2312"/>
          <w:kern w:val="0"/>
          <w:sz w:val="32"/>
          <w:szCs w:val="32"/>
        </w:rPr>
        <w:t>个，从业人员</w:t>
      </w:r>
      <w:r>
        <w:rPr>
          <w:rFonts w:hint="eastAsia" w:eastAsia="仿宋_GB2312"/>
          <w:kern w:val="0"/>
          <w:sz w:val="32"/>
          <w:szCs w:val="32"/>
        </w:rPr>
        <w:t>231</w:t>
      </w:r>
      <w:r>
        <w:rPr>
          <w:rFonts w:eastAsia="仿宋_GB2312"/>
          <w:kern w:val="0"/>
          <w:sz w:val="32"/>
          <w:szCs w:val="32"/>
        </w:rPr>
        <w:t>人（详见表4-12）。</w:t>
      </w:r>
    </w:p>
    <w:tbl>
      <w:tblPr>
        <w:tblStyle w:val="4"/>
        <w:tblW w:w="8730" w:type="dxa"/>
        <w:tblInd w:w="108" w:type="dxa"/>
        <w:tblLayout w:type="autofit"/>
        <w:tblCellMar>
          <w:top w:w="0" w:type="dxa"/>
          <w:left w:w="108" w:type="dxa"/>
          <w:bottom w:w="0" w:type="dxa"/>
          <w:right w:w="108" w:type="dxa"/>
        </w:tblCellMar>
      </w:tblPr>
      <w:tblGrid>
        <w:gridCol w:w="3970"/>
        <w:gridCol w:w="2459"/>
        <w:gridCol w:w="2301"/>
      </w:tblGrid>
      <w:tr>
        <w:tblPrEx>
          <w:tblCellMar>
            <w:top w:w="0" w:type="dxa"/>
            <w:left w:w="108" w:type="dxa"/>
            <w:bottom w:w="0" w:type="dxa"/>
            <w:right w:w="108" w:type="dxa"/>
          </w:tblCellMar>
        </w:tblPrEx>
        <w:trPr>
          <w:trHeight w:val="696" w:hRule="atLeast"/>
        </w:trPr>
        <w:tc>
          <w:tcPr>
            <w:tcW w:w="7229" w:type="dxa"/>
            <w:gridSpan w:val="3"/>
            <w:tcBorders>
              <w:top w:val="nil"/>
              <w:left w:val="nil"/>
              <w:bottom w:val="single" w:color="auto" w:sz="12" w:space="0"/>
              <w:right w:val="nil"/>
            </w:tcBorders>
            <w:shd w:val="clear" w:color="auto" w:fill="auto"/>
            <w:vAlign w:val="center"/>
          </w:tcPr>
          <w:p>
            <w:pPr>
              <w:widowControl/>
              <w:jc w:val="center"/>
              <w:rPr>
                <w:b/>
                <w:bCs/>
                <w:color w:val="000000"/>
                <w:kern w:val="0"/>
                <w:sz w:val="24"/>
              </w:rPr>
            </w:pPr>
            <w:r>
              <w:rPr>
                <w:b/>
                <w:bCs/>
                <w:color w:val="000000"/>
                <w:kern w:val="0"/>
                <w:sz w:val="24"/>
              </w:rPr>
              <w:t>表4-12</w:t>
            </w:r>
            <w:r>
              <w:rPr>
                <w:rFonts w:hint="eastAsia" w:ascii="宋体" w:hAnsi="宋体"/>
                <w:b/>
                <w:bCs/>
                <w:color w:val="000000"/>
                <w:kern w:val="0"/>
                <w:sz w:val="24"/>
              </w:rPr>
              <w:t>　按行业大类分组的金融业企业法人单位和从业人员</w:t>
            </w:r>
          </w:p>
        </w:tc>
      </w:tr>
      <w:tr>
        <w:tblPrEx>
          <w:tblCellMar>
            <w:top w:w="0" w:type="dxa"/>
            <w:left w:w="108" w:type="dxa"/>
            <w:bottom w:w="0" w:type="dxa"/>
            <w:right w:w="108" w:type="dxa"/>
          </w:tblCellMar>
        </w:tblPrEx>
        <w:trPr>
          <w:trHeight w:val="810" w:hRule="atLeast"/>
        </w:trPr>
        <w:tc>
          <w:tcPr>
            <w:tcW w:w="3402"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985"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企业法人单位</w:t>
            </w:r>
          </w:p>
          <w:p>
            <w:pPr>
              <w:widowControl/>
              <w:jc w:val="center"/>
              <w:rPr>
                <w:b/>
                <w:bCs/>
                <w:color w:val="000000"/>
                <w:kern w:val="0"/>
                <w:szCs w:val="21"/>
              </w:rPr>
            </w:pPr>
            <w:r>
              <w:rPr>
                <w:b/>
                <w:bCs/>
                <w:color w:val="000000"/>
                <w:kern w:val="0"/>
                <w:szCs w:val="21"/>
              </w:rPr>
              <w:t>（个）</w:t>
            </w:r>
          </w:p>
        </w:tc>
        <w:tc>
          <w:tcPr>
            <w:tcW w:w="1842"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从业人员</w:t>
            </w:r>
          </w:p>
          <w:p>
            <w:pPr>
              <w:widowControl/>
              <w:jc w:val="center"/>
              <w:rPr>
                <w:b/>
                <w:bCs/>
                <w:color w:val="000000"/>
                <w:kern w:val="0"/>
                <w:szCs w:val="21"/>
              </w:rPr>
            </w:pPr>
            <w:r>
              <w:rPr>
                <w:b/>
                <w:bCs/>
                <w:color w:val="000000"/>
                <w:kern w:val="0"/>
                <w:szCs w:val="21"/>
              </w:rPr>
              <w:t>（人）</w:t>
            </w:r>
          </w:p>
        </w:tc>
      </w:tr>
      <w:tr>
        <w:tblPrEx>
          <w:tblCellMar>
            <w:top w:w="0" w:type="dxa"/>
            <w:left w:w="108" w:type="dxa"/>
            <w:bottom w:w="0" w:type="dxa"/>
            <w:right w:w="108" w:type="dxa"/>
          </w:tblCellMar>
        </w:tblPrEx>
        <w:trPr>
          <w:trHeight w:val="410" w:hRule="atLeast"/>
        </w:trPr>
        <w:tc>
          <w:tcPr>
            <w:tcW w:w="3402"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985" w:type="dxa"/>
            <w:tcBorders>
              <w:top w:val="nil"/>
              <w:left w:val="nil"/>
              <w:bottom w:val="nil"/>
              <w:right w:val="single" w:color="auto" w:sz="8" w:space="0"/>
            </w:tcBorders>
            <w:shd w:val="clear" w:color="auto" w:fill="auto"/>
          </w:tcPr>
          <w:p>
            <w:pPr>
              <w:widowControl/>
              <w:jc w:val="center"/>
              <w:rPr>
                <w:b/>
                <w:bCs/>
                <w:color w:val="000000"/>
                <w:kern w:val="0"/>
                <w:szCs w:val="21"/>
              </w:rPr>
            </w:pPr>
            <w:r>
              <w:rPr>
                <w:b/>
                <w:bCs/>
                <w:color w:val="000000"/>
                <w:kern w:val="0"/>
                <w:szCs w:val="21"/>
              </w:rPr>
              <w:t>2</w:t>
            </w:r>
          </w:p>
        </w:tc>
        <w:tc>
          <w:tcPr>
            <w:tcW w:w="1842" w:type="dxa"/>
            <w:tcBorders>
              <w:top w:val="nil"/>
              <w:left w:val="nil"/>
              <w:bottom w:val="nil"/>
              <w:right w:val="nil"/>
            </w:tcBorders>
            <w:shd w:val="clear" w:color="auto" w:fill="auto"/>
          </w:tcPr>
          <w:p>
            <w:pPr>
              <w:widowControl/>
              <w:jc w:val="center"/>
              <w:rPr>
                <w:b/>
                <w:bCs/>
                <w:color w:val="000000"/>
                <w:kern w:val="0"/>
                <w:szCs w:val="21"/>
              </w:rPr>
            </w:pPr>
            <w:r>
              <w:rPr>
                <w:b/>
                <w:bCs/>
                <w:color w:val="000000"/>
                <w:kern w:val="0"/>
                <w:szCs w:val="21"/>
              </w:rPr>
              <w:t>231</w:t>
            </w:r>
          </w:p>
        </w:tc>
      </w:tr>
      <w:tr>
        <w:tblPrEx>
          <w:tblCellMar>
            <w:top w:w="0" w:type="dxa"/>
            <w:left w:w="108" w:type="dxa"/>
            <w:bottom w:w="0" w:type="dxa"/>
            <w:right w:w="108" w:type="dxa"/>
          </w:tblCellMar>
        </w:tblPrEx>
        <w:trPr>
          <w:trHeight w:val="270" w:hRule="atLeast"/>
        </w:trPr>
        <w:tc>
          <w:tcPr>
            <w:tcW w:w="3402"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货币金融服务</w:t>
            </w:r>
          </w:p>
        </w:tc>
        <w:tc>
          <w:tcPr>
            <w:tcW w:w="1985" w:type="dxa"/>
            <w:tcBorders>
              <w:top w:val="nil"/>
              <w:left w:val="nil"/>
              <w:bottom w:val="nil"/>
              <w:right w:val="single" w:color="auto" w:sz="8" w:space="0"/>
            </w:tcBorders>
            <w:shd w:val="clear" w:color="auto" w:fill="auto"/>
          </w:tcPr>
          <w:p>
            <w:pPr>
              <w:widowControl/>
              <w:jc w:val="center"/>
              <w:rPr>
                <w:color w:val="000000"/>
                <w:kern w:val="0"/>
                <w:szCs w:val="21"/>
              </w:rPr>
            </w:pPr>
            <w:r>
              <w:rPr>
                <w:color w:val="000000"/>
                <w:kern w:val="0"/>
                <w:szCs w:val="21"/>
              </w:rPr>
              <w:t>2</w:t>
            </w:r>
          </w:p>
        </w:tc>
        <w:tc>
          <w:tcPr>
            <w:tcW w:w="1842" w:type="dxa"/>
            <w:tcBorders>
              <w:top w:val="nil"/>
              <w:left w:val="nil"/>
              <w:bottom w:val="nil"/>
              <w:right w:val="nil"/>
            </w:tcBorders>
            <w:shd w:val="clear" w:color="auto" w:fill="auto"/>
          </w:tcPr>
          <w:p>
            <w:pPr>
              <w:widowControl/>
              <w:jc w:val="center"/>
              <w:rPr>
                <w:color w:val="000000"/>
                <w:kern w:val="0"/>
                <w:szCs w:val="21"/>
              </w:rPr>
            </w:pPr>
            <w:r>
              <w:rPr>
                <w:color w:val="000000"/>
                <w:kern w:val="0"/>
                <w:szCs w:val="21"/>
              </w:rPr>
              <w:t>231</w:t>
            </w:r>
          </w:p>
        </w:tc>
      </w:tr>
      <w:tr>
        <w:tblPrEx>
          <w:tblCellMar>
            <w:top w:w="0" w:type="dxa"/>
            <w:left w:w="108" w:type="dxa"/>
            <w:bottom w:w="0" w:type="dxa"/>
            <w:right w:w="108" w:type="dxa"/>
          </w:tblCellMar>
        </w:tblPrEx>
        <w:trPr>
          <w:trHeight w:val="540" w:hRule="atLeast"/>
        </w:trPr>
        <w:tc>
          <w:tcPr>
            <w:tcW w:w="3402" w:type="dxa"/>
            <w:tcBorders>
              <w:top w:val="nil"/>
              <w:left w:val="nil"/>
              <w:bottom w:val="nil"/>
              <w:right w:val="single" w:color="auto" w:sz="8" w:space="0"/>
            </w:tcBorders>
            <w:shd w:val="clear" w:color="auto" w:fill="auto"/>
            <w:vAlign w:val="center"/>
          </w:tcPr>
          <w:p>
            <w:pPr>
              <w:widowControl/>
              <w:ind w:firstLine="210" w:firstLineChars="100"/>
              <w:rPr>
                <w:color w:val="000000"/>
                <w:kern w:val="0"/>
                <w:szCs w:val="21"/>
              </w:rPr>
            </w:pPr>
            <w:r>
              <w:rPr>
                <w:color w:val="000000"/>
                <w:kern w:val="0"/>
                <w:szCs w:val="21"/>
              </w:rPr>
              <w:t>资本市场服务</w:t>
            </w:r>
          </w:p>
        </w:tc>
        <w:tc>
          <w:tcPr>
            <w:tcW w:w="1985" w:type="dxa"/>
            <w:tcBorders>
              <w:top w:val="nil"/>
              <w:left w:val="nil"/>
              <w:bottom w:val="nil"/>
              <w:right w:val="single" w:color="auto" w:sz="8" w:space="0"/>
            </w:tcBorders>
            <w:shd w:val="clear" w:color="auto" w:fill="auto"/>
          </w:tcPr>
          <w:p>
            <w:pPr>
              <w:widowControl/>
              <w:jc w:val="right"/>
              <w:rPr>
                <w:color w:val="000000"/>
                <w:kern w:val="0"/>
                <w:szCs w:val="21"/>
              </w:rPr>
            </w:pPr>
            <w:r>
              <w:rPr>
                <w:color w:val="000000"/>
                <w:kern w:val="0"/>
                <w:szCs w:val="21"/>
              </w:rPr>
              <w:t>　</w:t>
            </w:r>
          </w:p>
        </w:tc>
        <w:tc>
          <w:tcPr>
            <w:tcW w:w="1842" w:type="dxa"/>
            <w:tcBorders>
              <w:top w:val="nil"/>
              <w:left w:val="nil"/>
              <w:bottom w:val="nil"/>
              <w:right w:val="nil"/>
            </w:tcBorders>
            <w:shd w:val="clear" w:color="auto" w:fill="auto"/>
          </w:tcPr>
          <w:p>
            <w:pPr>
              <w:widowControl/>
              <w:jc w:val="right"/>
              <w:rPr>
                <w:color w:val="000000"/>
                <w:kern w:val="0"/>
                <w:szCs w:val="21"/>
              </w:rPr>
            </w:pPr>
          </w:p>
        </w:tc>
      </w:tr>
      <w:tr>
        <w:tblPrEx>
          <w:tblCellMar>
            <w:top w:w="0" w:type="dxa"/>
            <w:left w:w="108" w:type="dxa"/>
            <w:bottom w:w="0" w:type="dxa"/>
            <w:right w:w="108" w:type="dxa"/>
          </w:tblCellMar>
        </w:tblPrEx>
        <w:trPr>
          <w:trHeight w:val="435" w:hRule="atLeast"/>
        </w:trPr>
        <w:tc>
          <w:tcPr>
            <w:tcW w:w="3402"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保险业</w:t>
            </w:r>
          </w:p>
        </w:tc>
        <w:tc>
          <w:tcPr>
            <w:tcW w:w="1985" w:type="dxa"/>
            <w:tcBorders>
              <w:top w:val="nil"/>
              <w:left w:val="nil"/>
              <w:bottom w:val="nil"/>
              <w:right w:val="single" w:color="auto" w:sz="8" w:space="0"/>
            </w:tcBorders>
            <w:shd w:val="clear" w:color="auto" w:fill="auto"/>
          </w:tcPr>
          <w:p>
            <w:pPr>
              <w:widowControl/>
              <w:jc w:val="right"/>
              <w:rPr>
                <w:color w:val="000000"/>
                <w:kern w:val="0"/>
                <w:szCs w:val="21"/>
              </w:rPr>
            </w:pPr>
            <w:r>
              <w:rPr>
                <w:color w:val="000000"/>
                <w:kern w:val="0"/>
                <w:szCs w:val="21"/>
              </w:rPr>
              <w:t>　</w:t>
            </w:r>
          </w:p>
        </w:tc>
        <w:tc>
          <w:tcPr>
            <w:tcW w:w="1842" w:type="dxa"/>
            <w:tcBorders>
              <w:top w:val="nil"/>
              <w:left w:val="nil"/>
              <w:bottom w:val="nil"/>
              <w:right w:val="nil"/>
            </w:tcBorders>
            <w:shd w:val="clear" w:color="auto" w:fill="auto"/>
          </w:tcPr>
          <w:p>
            <w:pPr>
              <w:widowControl/>
              <w:jc w:val="right"/>
              <w:rPr>
                <w:color w:val="000000"/>
                <w:kern w:val="0"/>
                <w:szCs w:val="21"/>
              </w:rPr>
            </w:pPr>
          </w:p>
        </w:tc>
      </w:tr>
      <w:tr>
        <w:tblPrEx>
          <w:tblCellMar>
            <w:top w:w="0" w:type="dxa"/>
            <w:left w:w="108" w:type="dxa"/>
            <w:bottom w:w="0" w:type="dxa"/>
            <w:right w:w="108" w:type="dxa"/>
          </w:tblCellMar>
        </w:tblPrEx>
        <w:trPr>
          <w:trHeight w:val="270" w:hRule="atLeast"/>
        </w:trPr>
        <w:tc>
          <w:tcPr>
            <w:tcW w:w="3402" w:type="dxa"/>
            <w:tcBorders>
              <w:top w:val="nil"/>
              <w:left w:val="nil"/>
              <w:bottom w:val="single" w:color="auto" w:sz="12" w:space="0"/>
              <w:right w:val="single" w:color="auto" w:sz="8" w:space="0"/>
            </w:tcBorders>
            <w:shd w:val="clear" w:color="auto" w:fill="auto"/>
          </w:tcPr>
          <w:p>
            <w:pPr>
              <w:widowControl/>
              <w:rPr>
                <w:color w:val="000000"/>
                <w:kern w:val="0"/>
                <w:szCs w:val="21"/>
              </w:rPr>
            </w:pPr>
            <w:r>
              <w:rPr>
                <w:color w:val="000000"/>
                <w:kern w:val="0"/>
                <w:szCs w:val="21"/>
              </w:rPr>
              <w:t>　其他金融业</w:t>
            </w:r>
          </w:p>
        </w:tc>
        <w:tc>
          <w:tcPr>
            <w:tcW w:w="1985" w:type="dxa"/>
            <w:tcBorders>
              <w:top w:val="nil"/>
              <w:left w:val="nil"/>
              <w:bottom w:val="single" w:color="auto" w:sz="12" w:space="0"/>
              <w:right w:val="single" w:color="auto" w:sz="8" w:space="0"/>
            </w:tcBorders>
            <w:shd w:val="clear" w:color="auto" w:fill="auto"/>
          </w:tcPr>
          <w:p>
            <w:pPr>
              <w:widowControl/>
              <w:jc w:val="right"/>
              <w:rPr>
                <w:color w:val="000000"/>
                <w:kern w:val="0"/>
                <w:szCs w:val="21"/>
              </w:rPr>
            </w:pPr>
            <w:r>
              <w:rPr>
                <w:color w:val="000000"/>
                <w:kern w:val="0"/>
                <w:szCs w:val="21"/>
              </w:rPr>
              <w:t>　</w:t>
            </w:r>
          </w:p>
        </w:tc>
        <w:tc>
          <w:tcPr>
            <w:tcW w:w="1842" w:type="dxa"/>
            <w:tcBorders>
              <w:top w:val="nil"/>
              <w:left w:val="nil"/>
              <w:bottom w:val="single" w:color="auto" w:sz="12" w:space="0"/>
              <w:right w:val="nil"/>
            </w:tcBorders>
            <w:shd w:val="clear" w:color="auto" w:fill="auto"/>
          </w:tcPr>
          <w:p>
            <w:pPr>
              <w:widowControl/>
              <w:jc w:val="right"/>
              <w:rPr>
                <w:color w:val="000000"/>
                <w:kern w:val="0"/>
                <w:szCs w:val="21"/>
              </w:rPr>
            </w:pPr>
            <w:r>
              <w:rPr>
                <w:color w:val="000000"/>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83" w:hRule="atLeast"/>
          <w:jc w:val="center"/>
        </w:trPr>
        <w:tc>
          <w:tcPr>
            <w:tcW w:w="0" w:type="auto"/>
            <w:gridSpan w:val="3"/>
            <w:tcBorders>
              <w:top w:val="single" w:color="auto" w:sz="12" w:space="0"/>
              <w:left w:val="nil"/>
              <w:bottom w:val="nil"/>
              <w:right w:val="nil"/>
            </w:tcBorders>
          </w:tcPr>
          <w:p>
            <w:pPr>
              <w:widowControl/>
              <w:spacing w:line="320" w:lineRule="exact"/>
              <w:ind w:left="57" w:right="57" w:firstLine="420" w:firstLineChars="200"/>
            </w:pPr>
            <w:r>
              <w:rPr>
                <w:rFonts w:eastAsia="楷体"/>
                <w:kern w:val="0"/>
                <w:szCs w:val="21"/>
              </w:rPr>
              <w:t>注：金融业企业法人单位汇总范围包括人民银行、银保监会、证监会监管的单位和监管范围之外从事金融行业的单位。</w:t>
            </w:r>
          </w:p>
        </w:tc>
      </w:tr>
    </w:tbl>
    <w:p>
      <w:pPr>
        <w:widowControl/>
        <w:spacing w:line="600" w:lineRule="exact"/>
        <w:ind w:firstLine="643" w:firstLineChars="200"/>
        <w:rPr>
          <w:rFonts w:eastAsia="楷体_GB2312"/>
          <w:b/>
          <w:kern w:val="0"/>
          <w:sz w:val="32"/>
          <w:szCs w:val="32"/>
        </w:rPr>
      </w:pPr>
    </w:p>
    <w:p>
      <w:pPr>
        <w:widowControl/>
        <w:spacing w:line="600" w:lineRule="exact"/>
        <w:ind w:firstLine="643" w:firstLineChars="200"/>
        <w:rPr>
          <w:rFonts w:eastAsia="楷体_GB2312"/>
          <w:b/>
          <w:kern w:val="0"/>
          <w:sz w:val="32"/>
          <w:szCs w:val="32"/>
        </w:rPr>
      </w:pPr>
      <w:r>
        <w:rPr>
          <w:rFonts w:eastAsia="楷体_GB2312"/>
          <w:b/>
          <w:kern w:val="0"/>
          <w:sz w:val="32"/>
          <w:szCs w:val="32"/>
        </w:rPr>
        <w:t>（二）主要经济指标。</w:t>
      </w:r>
    </w:p>
    <w:p>
      <w:pPr>
        <w:widowControl/>
        <w:spacing w:line="600" w:lineRule="exact"/>
        <w:ind w:firstLine="640" w:firstLineChars="200"/>
        <w:rPr>
          <w:rFonts w:eastAsia="仿宋_GB2312"/>
          <w:kern w:val="0"/>
          <w:sz w:val="32"/>
          <w:szCs w:val="32"/>
        </w:rPr>
      </w:pPr>
      <w:r>
        <w:rPr>
          <w:rFonts w:eastAsia="仿宋_GB2312"/>
          <w:kern w:val="0"/>
          <w:sz w:val="32"/>
          <w:szCs w:val="32"/>
        </w:rPr>
        <w:t>2018年末，金融业企业法人单位资产总计</w:t>
      </w:r>
      <w:r>
        <w:rPr>
          <w:rFonts w:hint="eastAsia" w:eastAsia="仿宋_GB2312"/>
          <w:kern w:val="0"/>
          <w:sz w:val="32"/>
          <w:szCs w:val="32"/>
        </w:rPr>
        <w:t>574488.4</w:t>
      </w:r>
      <w:r>
        <w:rPr>
          <w:rFonts w:eastAsia="仿宋_GB2312"/>
          <w:kern w:val="0"/>
          <w:sz w:val="32"/>
          <w:szCs w:val="32"/>
        </w:rPr>
        <w:t>万元。全年实现营业收入</w:t>
      </w:r>
      <w:r>
        <w:rPr>
          <w:rFonts w:hint="eastAsia" w:eastAsia="仿宋_GB2312"/>
          <w:kern w:val="0"/>
          <w:sz w:val="32"/>
          <w:szCs w:val="32"/>
        </w:rPr>
        <w:t>29337.8</w:t>
      </w:r>
      <w:r>
        <w:rPr>
          <w:rFonts w:eastAsia="仿宋_GB2312"/>
          <w:kern w:val="0"/>
          <w:sz w:val="32"/>
          <w:szCs w:val="32"/>
        </w:rPr>
        <w:t>万元（详见表4-13）。</w:t>
      </w:r>
    </w:p>
    <w:tbl>
      <w:tblPr>
        <w:tblStyle w:val="4"/>
        <w:tblW w:w="8662" w:type="dxa"/>
        <w:tblInd w:w="93" w:type="dxa"/>
        <w:tblLayout w:type="autofit"/>
        <w:tblCellMar>
          <w:top w:w="0" w:type="dxa"/>
          <w:left w:w="108" w:type="dxa"/>
          <w:bottom w:w="0" w:type="dxa"/>
          <w:right w:w="108" w:type="dxa"/>
        </w:tblCellMar>
      </w:tblPr>
      <w:tblGrid>
        <w:gridCol w:w="15"/>
        <w:gridCol w:w="4395"/>
        <w:gridCol w:w="2126"/>
        <w:gridCol w:w="2126"/>
      </w:tblGrid>
      <w:tr>
        <w:tblPrEx>
          <w:tblCellMar>
            <w:top w:w="0" w:type="dxa"/>
            <w:left w:w="108" w:type="dxa"/>
            <w:bottom w:w="0" w:type="dxa"/>
            <w:right w:w="108" w:type="dxa"/>
          </w:tblCellMar>
        </w:tblPrEx>
        <w:trPr>
          <w:trHeight w:val="900" w:hRule="atLeast"/>
        </w:trPr>
        <w:tc>
          <w:tcPr>
            <w:tcW w:w="8662" w:type="dxa"/>
            <w:gridSpan w:val="4"/>
            <w:tcBorders>
              <w:top w:val="nil"/>
              <w:left w:val="nil"/>
              <w:bottom w:val="single" w:color="auto" w:sz="12" w:space="0"/>
              <w:right w:val="nil"/>
            </w:tcBorders>
            <w:shd w:val="clear" w:color="auto" w:fill="auto"/>
            <w:vAlign w:val="center"/>
          </w:tcPr>
          <w:p>
            <w:pPr>
              <w:widowControl/>
              <w:jc w:val="center"/>
              <w:rPr>
                <w:b/>
                <w:bCs/>
                <w:color w:val="000000"/>
                <w:kern w:val="0"/>
                <w:sz w:val="24"/>
              </w:rPr>
            </w:pPr>
            <w:r>
              <w:rPr>
                <w:b/>
                <w:bCs/>
                <w:color w:val="000000"/>
                <w:kern w:val="0"/>
                <w:sz w:val="24"/>
              </w:rPr>
              <w:t>表4-13</w:t>
            </w:r>
            <w:r>
              <w:rPr>
                <w:rFonts w:hint="eastAsia" w:ascii="宋体" w:hAnsi="宋体"/>
                <w:b/>
                <w:bCs/>
                <w:color w:val="000000"/>
                <w:kern w:val="0"/>
                <w:sz w:val="24"/>
              </w:rPr>
              <w:t>　按行业大类分组的金融业企业法人单位主要经济指标</w:t>
            </w:r>
          </w:p>
        </w:tc>
      </w:tr>
      <w:tr>
        <w:tblPrEx>
          <w:tblCellMar>
            <w:top w:w="0" w:type="dxa"/>
            <w:left w:w="108" w:type="dxa"/>
            <w:bottom w:w="0" w:type="dxa"/>
            <w:right w:w="108" w:type="dxa"/>
          </w:tblCellMar>
        </w:tblPrEx>
        <w:trPr>
          <w:trHeight w:val="405" w:hRule="atLeast"/>
        </w:trPr>
        <w:tc>
          <w:tcPr>
            <w:tcW w:w="4410" w:type="dxa"/>
            <w:gridSpan w:val="2"/>
            <w:vMerge w:val="restart"/>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2126"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资产总计</w:t>
            </w:r>
          </w:p>
        </w:tc>
        <w:tc>
          <w:tcPr>
            <w:tcW w:w="2126"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营业收入</w:t>
            </w:r>
          </w:p>
        </w:tc>
      </w:tr>
      <w:tr>
        <w:tblPrEx>
          <w:tblCellMar>
            <w:top w:w="0" w:type="dxa"/>
            <w:left w:w="108" w:type="dxa"/>
            <w:bottom w:w="0" w:type="dxa"/>
            <w:right w:w="108" w:type="dxa"/>
          </w:tblCellMar>
        </w:tblPrEx>
        <w:trPr>
          <w:trHeight w:val="360" w:hRule="atLeast"/>
        </w:trPr>
        <w:tc>
          <w:tcPr>
            <w:tcW w:w="4410" w:type="dxa"/>
            <w:gridSpan w:val="2"/>
            <w:vMerge w:val="continue"/>
            <w:tcBorders>
              <w:top w:val="nil"/>
              <w:left w:val="nil"/>
              <w:bottom w:val="single" w:color="auto" w:sz="8" w:space="0"/>
              <w:right w:val="single" w:color="auto" w:sz="8" w:space="0"/>
            </w:tcBorders>
            <w:vAlign w:val="center"/>
          </w:tcPr>
          <w:p>
            <w:pPr>
              <w:widowControl/>
              <w:jc w:val="left"/>
              <w:rPr>
                <w:b/>
                <w:bCs/>
                <w:color w:val="000000"/>
                <w:kern w:val="0"/>
                <w:szCs w:val="21"/>
              </w:rPr>
            </w:pPr>
          </w:p>
        </w:tc>
        <w:tc>
          <w:tcPr>
            <w:tcW w:w="2126"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2126"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（万元）</w:t>
            </w:r>
          </w:p>
        </w:tc>
      </w:tr>
      <w:tr>
        <w:tblPrEx>
          <w:tblCellMar>
            <w:top w:w="0" w:type="dxa"/>
            <w:left w:w="108" w:type="dxa"/>
            <w:bottom w:w="0" w:type="dxa"/>
            <w:right w:w="108" w:type="dxa"/>
          </w:tblCellMar>
        </w:tblPrEx>
        <w:trPr>
          <w:trHeight w:val="330" w:hRule="atLeast"/>
        </w:trPr>
        <w:tc>
          <w:tcPr>
            <w:tcW w:w="4410" w:type="dxa"/>
            <w:gridSpan w:val="2"/>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574488.4</w:t>
            </w:r>
          </w:p>
        </w:tc>
        <w:tc>
          <w:tcPr>
            <w:tcW w:w="2126"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29337.8</w:t>
            </w:r>
          </w:p>
        </w:tc>
      </w:tr>
      <w:tr>
        <w:tblPrEx>
          <w:tblCellMar>
            <w:top w:w="0" w:type="dxa"/>
            <w:left w:w="108" w:type="dxa"/>
            <w:bottom w:w="0" w:type="dxa"/>
            <w:right w:w="108" w:type="dxa"/>
          </w:tblCellMar>
        </w:tblPrEx>
        <w:trPr>
          <w:trHeight w:val="330" w:hRule="atLeast"/>
        </w:trPr>
        <w:tc>
          <w:tcPr>
            <w:tcW w:w="4410" w:type="dxa"/>
            <w:gridSpan w:val="2"/>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货币金融服务</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574488.4</w:t>
            </w:r>
          </w:p>
        </w:tc>
        <w:tc>
          <w:tcPr>
            <w:tcW w:w="2126"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29337.8</w:t>
            </w:r>
          </w:p>
        </w:tc>
      </w:tr>
      <w:tr>
        <w:tblPrEx>
          <w:tblCellMar>
            <w:top w:w="0" w:type="dxa"/>
            <w:left w:w="108" w:type="dxa"/>
            <w:bottom w:w="0" w:type="dxa"/>
            <w:right w:w="108" w:type="dxa"/>
          </w:tblCellMar>
        </w:tblPrEx>
        <w:trPr>
          <w:trHeight w:val="330" w:hRule="atLeast"/>
        </w:trPr>
        <w:tc>
          <w:tcPr>
            <w:tcW w:w="4410" w:type="dxa"/>
            <w:gridSpan w:val="2"/>
            <w:tcBorders>
              <w:top w:val="nil"/>
              <w:left w:val="nil"/>
              <w:bottom w:val="nil"/>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资本市场服务</w:t>
            </w:r>
          </w:p>
        </w:tc>
        <w:tc>
          <w:tcPr>
            <w:tcW w:w="2126" w:type="dxa"/>
            <w:tcBorders>
              <w:top w:val="nil"/>
              <w:left w:val="nil"/>
              <w:bottom w:val="nil"/>
              <w:right w:val="single" w:color="auto" w:sz="8" w:space="0"/>
            </w:tcBorders>
            <w:shd w:val="clear" w:color="auto" w:fill="auto"/>
            <w:vAlign w:val="center"/>
          </w:tcPr>
          <w:p>
            <w:pPr>
              <w:widowControl/>
              <w:jc w:val="right"/>
              <w:rPr>
                <w:color w:val="000000"/>
                <w:kern w:val="0"/>
                <w:szCs w:val="21"/>
              </w:rPr>
            </w:pPr>
            <w:r>
              <w:rPr>
                <w:color w:val="000000"/>
                <w:kern w:val="0"/>
                <w:szCs w:val="21"/>
              </w:rPr>
              <w:t>　</w:t>
            </w:r>
          </w:p>
        </w:tc>
        <w:tc>
          <w:tcPr>
            <w:tcW w:w="2126" w:type="dxa"/>
            <w:tcBorders>
              <w:top w:val="nil"/>
              <w:left w:val="nil"/>
              <w:bottom w:val="nil"/>
              <w:right w:val="nil"/>
            </w:tcBorders>
            <w:shd w:val="clear" w:color="auto" w:fill="auto"/>
            <w:vAlign w:val="center"/>
          </w:tcPr>
          <w:p>
            <w:pPr>
              <w:widowControl/>
              <w:jc w:val="right"/>
              <w:rPr>
                <w:color w:val="000000"/>
                <w:kern w:val="0"/>
                <w:szCs w:val="21"/>
              </w:rPr>
            </w:pPr>
          </w:p>
        </w:tc>
      </w:tr>
      <w:tr>
        <w:tblPrEx>
          <w:tblCellMar>
            <w:top w:w="0" w:type="dxa"/>
            <w:left w:w="108" w:type="dxa"/>
            <w:bottom w:w="0" w:type="dxa"/>
            <w:right w:w="108" w:type="dxa"/>
          </w:tblCellMar>
        </w:tblPrEx>
        <w:trPr>
          <w:trHeight w:val="330" w:hRule="atLeast"/>
        </w:trPr>
        <w:tc>
          <w:tcPr>
            <w:tcW w:w="4410" w:type="dxa"/>
            <w:gridSpan w:val="2"/>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保险业</w:t>
            </w:r>
          </w:p>
        </w:tc>
        <w:tc>
          <w:tcPr>
            <w:tcW w:w="2126" w:type="dxa"/>
            <w:tcBorders>
              <w:top w:val="nil"/>
              <w:left w:val="nil"/>
              <w:bottom w:val="nil"/>
              <w:right w:val="single" w:color="auto" w:sz="8" w:space="0"/>
            </w:tcBorders>
            <w:shd w:val="clear" w:color="auto" w:fill="auto"/>
            <w:vAlign w:val="center"/>
          </w:tcPr>
          <w:p>
            <w:pPr>
              <w:widowControl/>
              <w:jc w:val="right"/>
              <w:rPr>
                <w:color w:val="000000"/>
                <w:kern w:val="0"/>
                <w:szCs w:val="21"/>
              </w:rPr>
            </w:pPr>
            <w:r>
              <w:rPr>
                <w:color w:val="000000"/>
                <w:kern w:val="0"/>
                <w:szCs w:val="21"/>
              </w:rPr>
              <w:t>　</w:t>
            </w:r>
          </w:p>
        </w:tc>
        <w:tc>
          <w:tcPr>
            <w:tcW w:w="2126" w:type="dxa"/>
            <w:tcBorders>
              <w:top w:val="nil"/>
              <w:left w:val="nil"/>
              <w:bottom w:val="nil"/>
              <w:right w:val="nil"/>
            </w:tcBorders>
            <w:shd w:val="clear" w:color="auto" w:fill="auto"/>
            <w:vAlign w:val="center"/>
          </w:tcPr>
          <w:p>
            <w:pPr>
              <w:widowControl/>
              <w:jc w:val="right"/>
              <w:rPr>
                <w:color w:val="000000"/>
                <w:kern w:val="0"/>
                <w:szCs w:val="21"/>
              </w:rPr>
            </w:pPr>
          </w:p>
        </w:tc>
      </w:tr>
      <w:tr>
        <w:tblPrEx>
          <w:tblCellMar>
            <w:top w:w="0" w:type="dxa"/>
            <w:left w:w="108" w:type="dxa"/>
            <w:bottom w:w="0" w:type="dxa"/>
            <w:right w:w="108" w:type="dxa"/>
          </w:tblCellMar>
        </w:tblPrEx>
        <w:trPr>
          <w:trHeight w:val="330" w:hRule="atLeast"/>
        </w:trPr>
        <w:tc>
          <w:tcPr>
            <w:tcW w:w="4410" w:type="dxa"/>
            <w:gridSpan w:val="2"/>
            <w:tcBorders>
              <w:top w:val="nil"/>
              <w:left w:val="nil"/>
              <w:bottom w:val="single" w:color="auto" w:sz="12" w:space="0"/>
              <w:right w:val="single" w:color="auto" w:sz="8" w:space="0"/>
            </w:tcBorders>
            <w:shd w:val="clear" w:color="auto" w:fill="auto"/>
          </w:tcPr>
          <w:p>
            <w:pPr>
              <w:widowControl/>
              <w:rPr>
                <w:color w:val="000000"/>
                <w:kern w:val="0"/>
                <w:szCs w:val="21"/>
              </w:rPr>
            </w:pPr>
            <w:r>
              <w:rPr>
                <w:color w:val="000000"/>
                <w:kern w:val="0"/>
                <w:szCs w:val="21"/>
              </w:rPr>
              <w:t>　其他金融业</w:t>
            </w:r>
          </w:p>
        </w:tc>
        <w:tc>
          <w:tcPr>
            <w:tcW w:w="2126" w:type="dxa"/>
            <w:tcBorders>
              <w:top w:val="nil"/>
              <w:left w:val="nil"/>
              <w:bottom w:val="single" w:color="auto" w:sz="12" w:space="0"/>
              <w:right w:val="single" w:color="auto" w:sz="8" w:space="0"/>
            </w:tcBorders>
            <w:shd w:val="clear" w:color="auto" w:fill="auto"/>
            <w:vAlign w:val="center"/>
          </w:tcPr>
          <w:p>
            <w:pPr>
              <w:widowControl/>
              <w:jc w:val="right"/>
              <w:rPr>
                <w:color w:val="000000"/>
                <w:kern w:val="0"/>
                <w:szCs w:val="21"/>
              </w:rPr>
            </w:pPr>
            <w:r>
              <w:rPr>
                <w:color w:val="000000"/>
                <w:kern w:val="0"/>
                <w:szCs w:val="21"/>
              </w:rPr>
              <w:t>　</w:t>
            </w:r>
          </w:p>
        </w:tc>
        <w:tc>
          <w:tcPr>
            <w:tcW w:w="2126" w:type="dxa"/>
            <w:tcBorders>
              <w:top w:val="nil"/>
              <w:left w:val="nil"/>
              <w:bottom w:val="single" w:color="auto" w:sz="12" w:space="0"/>
              <w:right w:val="nil"/>
            </w:tcBorders>
            <w:shd w:val="clear" w:color="auto" w:fill="auto"/>
            <w:vAlign w:val="center"/>
          </w:tcPr>
          <w:p>
            <w:pPr>
              <w:widowControl/>
              <w:jc w:val="right"/>
              <w:rPr>
                <w:color w:val="000000"/>
                <w:kern w:val="0"/>
                <w:szCs w:val="21"/>
              </w:rPr>
            </w:pPr>
            <w:r>
              <w:rPr>
                <w:color w:val="000000"/>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Before w:val="1"/>
          <w:wBefore w:w="15" w:type="dxa"/>
          <w:trHeight w:val="283" w:hRule="atLeast"/>
          <w:jc w:val="center"/>
        </w:trPr>
        <w:tc>
          <w:tcPr>
            <w:tcW w:w="8647" w:type="dxa"/>
            <w:gridSpan w:val="3"/>
            <w:tcBorders>
              <w:top w:val="single" w:color="auto" w:sz="12" w:space="0"/>
              <w:left w:val="nil"/>
              <w:bottom w:val="nil"/>
              <w:right w:val="nil"/>
            </w:tcBorders>
          </w:tcPr>
          <w:p>
            <w:pPr>
              <w:widowControl/>
              <w:spacing w:line="240" w:lineRule="atLeast"/>
              <w:ind w:left="57" w:right="57" w:firstLine="420" w:firstLineChars="200"/>
              <w:rPr>
                <w:rFonts w:eastAsia="楷体"/>
                <w:kern w:val="0"/>
                <w:szCs w:val="21"/>
              </w:rPr>
            </w:pPr>
            <w:r>
              <w:rPr>
                <w:rFonts w:eastAsia="楷体"/>
                <w:kern w:val="0"/>
                <w:szCs w:val="21"/>
              </w:rPr>
              <w:t>注：金融业企业法人单位汇总范围包括人民银行、银保监会、证监会监管的单位和监管范围之外从事金融行业的单位。</w:t>
            </w:r>
          </w:p>
        </w:tc>
      </w:tr>
    </w:tbl>
    <w:p>
      <w:pPr>
        <w:widowControl/>
        <w:spacing w:line="600" w:lineRule="exact"/>
        <w:ind w:firstLine="640" w:firstLineChars="200"/>
        <w:jc w:val="left"/>
        <w:rPr>
          <w:rFonts w:eastAsia="黑体"/>
          <w:kern w:val="0"/>
          <w:sz w:val="32"/>
          <w:szCs w:val="32"/>
        </w:rPr>
      </w:pPr>
    </w:p>
    <w:p>
      <w:pPr>
        <w:widowControl/>
        <w:spacing w:line="600" w:lineRule="exact"/>
        <w:ind w:firstLine="640" w:firstLineChars="200"/>
        <w:jc w:val="left"/>
        <w:rPr>
          <w:rFonts w:eastAsia="黑体"/>
          <w:kern w:val="0"/>
          <w:sz w:val="32"/>
          <w:szCs w:val="32"/>
        </w:rPr>
      </w:pPr>
      <w:r>
        <w:rPr>
          <w:rFonts w:eastAsia="黑体"/>
          <w:kern w:val="0"/>
          <w:sz w:val="32"/>
          <w:szCs w:val="32"/>
        </w:rPr>
        <w:t>六、房地产业</w:t>
      </w:r>
    </w:p>
    <w:p>
      <w:pPr>
        <w:widowControl/>
        <w:spacing w:line="600" w:lineRule="exact"/>
        <w:ind w:firstLine="643" w:firstLineChars="200"/>
        <w:rPr>
          <w:rFonts w:eastAsia="楷体_GB2312"/>
          <w:b/>
          <w:kern w:val="0"/>
          <w:sz w:val="32"/>
          <w:szCs w:val="32"/>
        </w:rPr>
      </w:pPr>
      <w:r>
        <w:rPr>
          <w:rFonts w:eastAsia="楷体_GB2312"/>
          <w:b/>
          <w:kern w:val="0"/>
          <w:sz w:val="32"/>
          <w:szCs w:val="32"/>
        </w:rPr>
        <w:t>（一）企业法人单位数和从业人员。</w:t>
      </w:r>
    </w:p>
    <w:p>
      <w:pPr>
        <w:spacing w:line="600" w:lineRule="exact"/>
        <w:ind w:firstLine="640" w:firstLineChars="200"/>
        <w:rPr>
          <w:rFonts w:eastAsia="仿宋_GB2312"/>
          <w:color w:val="FF0000"/>
          <w:kern w:val="0"/>
          <w:sz w:val="32"/>
          <w:szCs w:val="32"/>
        </w:rPr>
      </w:pPr>
      <w:r>
        <w:rPr>
          <w:rFonts w:eastAsia="仿宋_GB2312"/>
          <w:color w:val="000000" w:themeColor="text1"/>
          <w:kern w:val="0"/>
          <w:sz w:val="32"/>
          <w:szCs w:val="32"/>
        </w:rPr>
        <w:t>2018年末，全</w:t>
      </w:r>
      <w:r>
        <w:rPr>
          <w:rFonts w:hint="eastAsia" w:eastAsia="仿宋_GB2312"/>
          <w:color w:val="000000" w:themeColor="text1"/>
          <w:kern w:val="0"/>
          <w:sz w:val="32"/>
          <w:szCs w:val="32"/>
        </w:rPr>
        <w:t>县</w:t>
      </w:r>
      <w:r>
        <w:rPr>
          <w:rFonts w:eastAsia="仿宋_GB2312"/>
          <w:color w:val="000000" w:themeColor="text1"/>
          <w:kern w:val="0"/>
          <w:sz w:val="32"/>
          <w:szCs w:val="32"/>
        </w:rPr>
        <w:t>共有房地产业企业法人单位</w:t>
      </w:r>
      <w:r>
        <w:rPr>
          <w:rFonts w:hint="eastAsia" w:eastAsia="仿宋_GB2312"/>
          <w:color w:val="000000" w:themeColor="text1"/>
          <w:kern w:val="0"/>
          <w:sz w:val="32"/>
          <w:szCs w:val="32"/>
        </w:rPr>
        <w:t>60</w:t>
      </w:r>
      <w:r>
        <w:rPr>
          <w:rFonts w:eastAsia="仿宋_GB2312"/>
          <w:color w:val="000000" w:themeColor="text1"/>
          <w:kern w:val="0"/>
          <w:sz w:val="32"/>
          <w:szCs w:val="32"/>
        </w:rPr>
        <w:t>个，比2013年末</w:t>
      </w:r>
      <w:r>
        <w:rPr>
          <w:rFonts w:hint="eastAsia" w:eastAsia="仿宋_GB2312"/>
          <w:color w:val="000000" w:themeColor="text1"/>
          <w:kern w:val="0"/>
          <w:sz w:val="32"/>
          <w:szCs w:val="32"/>
        </w:rPr>
        <w:t>下降4.8</w:t>
      </w:r>
      <w:r>
        <w:rPr>
          <w:rFonts w:eastAsia="仿宋_GB2312"/>
          <w:color w:val="000000" w:themeColor="text1"/>
          <w:kern w:val="0"/>
          <w:sz w:val="32"/>
          <w:szCs w:val="32"/>
        </w:rPr>
        <w:t>%。其中，房地产开发经营企业</w:t>
      </w:r>
      <w:r>
        <w:rPr>
          <w:rFonts w:hint="eastAsia" w:eastAsia="仿宋_GB2312"/>
          <w:color w:val="000000" w:themeColor="text1"/>
          <w:kern w:val="0"/>
          <w:sz w:val="32"/>
          <w:szCs w:val="32"/>
        </w:rPr>
        <w:t>27</w:t>
      </w:r>
      <w:r>
        <w:rPr>
          <w:rFonts w:eastAsia="仿宋_GB2312"/>
          <w:color w:val="000000" w:themeColor="text1"/>
          <w:kern w:val="0"/>
          <w:sz w:val="32"/>
          <w:szCs w:val="32"/>
        </w:rPr>
        <w:t>个，物业管理企业21个，房地产中介服务企业</w:t>
      </w:r>
      <w:r>
        <w:rPr>
          <w:rFonts w:hint="eastAsia" w:eastAsia="仿宋_GB2312"/>
          <w:color w:val="000000" w:themeColor="text1"/>
          <w:kern w:val="0"/>
          <w:sz w:val="32"/>
          <w:szCs w:val="32"/>
        </w:rPr>
        <w:t>5</w:t>
      </w:r>
      <w:r>
        <w:rPr>
          <w:rFonts w:eastAsia="仿宋_GB2312"/>
          <w:color w:val="000000" w:themeColor="text1"/>
          <w:kern w:val="0"/>
          <w:sz w:val="32"/>
          <w:szCs w:val="32"/>
        </w:rPr>
        <w:t>个，分别比2013年末增长4</w:t>
      </w:r>
      <w:r>
        <w:rPr>
          <w:rFonts w:hint="eastAsia" w:eastAsia="仿宋_GB2312"/>
          <w:color w:val="000000" w:themeColor="text1"/>
          <w:kern w:val="0"/>
          <w:sz w:val="32"/>
          <w:szCs w:val="32"/>
        </w:rPr>
        <w:t>2.1</w:t>
      </w:r>
      <w:r>
        <w:rPr>
          <w:rFonts w:eastAsia="仿宋_GB2312"/>
          <w:color w:val="000000" w:themeColor="text1"/>
          <w:kern w:val="0"/>
          <w:sz w:val="32"/>
          <w:szCs w:val="32"/>
        </w:rPr>
        <w:t>%、</w:t>
      </w:r>
      <w:r>
        <w:rPr>
          <w:rFonts w:hint="eastAsia" w:eastAsia="仿宋_GB2312"/>
          <w:color w:val="000000" w:themeColor="text1"/>
          <w:kern w:val="0"/>
          <w:sz w:val="32"/>
          <w:szCs w:val="32"/>
        </w:rPr>
        <w:t>61.5</w:t>
      </w:r>
      <w:r>
        <w:rPr>
          <w:rFonts w:eastAsia="仿宋_GB2312"/>
          <w:color w:val="000000" w:themeColor="text1"/>
          <w:kern w:val="0"/>
          <w:sz w:val="32"/>
          <w:szCs w:val="32"/>
        </w:rPr>
        <w:t>%和</w:t>
      </w:r>
      <w:r>
        <w:rPr>
          <w:rFonts w:hint="eastAsia" w:eastAsia="仿宋_GB2312"/>
          <w:color w:val="000000" w:themeColor="text1"/>
          <w:kern w:val="0"/>
          <w:sz w:val="32"/>
          <w:szCs w:val="32"/>
        </w:rPr>
        <w:t>150</w:t>
      </w:r>
      <w:r>
        <w:rPr>
          <w:rFonts w:eastAsia="仿宋_GB2312"/>
          <w:color w:val="000000" w:themeColor="text1"/>
          <w:kern w:val="0"/>
          <w:sz w:val="32"/>
          <w:szCs w:val="32"/>
        </w:rPr>
        <w:t>%</w:t>
      </w:r>
      <w:r>
        <w:rPr>
          <w:rFonts w:eastAsia="仿宋_GB2312"/>
          <w:color w:val="FF0000"/>
          <w:kern w:val="0"/>
          <w:sz w:val="32"/>
          <w:szCs w:val="32"/>
        </w:rPr>
        <w:t>。</w:t>
      </w:r>
    </w:p>
    <w:p>
      <w:pPr>
        <w:spacing w:line="600" w:lineRule="exact"/>
        <w:ind w:firstLine="640" w:firstLineChars="200"/>
        <w:rPr>
          <w:rFonts w:eastAsia="仿宋_GB2312"/>
          <w:color w:val="000000" w:themeColor="text1"/>
          <w:kern w:val="0"/>
          <w:sz w:val="32"/>
          <w:szCs w:val="32"/>
        </w:rPr>
      </w:pPr>
      <w:r>
        <w:rPr>
          <w:rFonts w:eastAsia="仿宋_GB2312"/>
          <w:color w:val="000000" w:themeColor="text1"/>
          <w:kern w:val="0"/>
          <w:sz w:val="32"/>
          <w:szCs w:val="32"/>
        </w:rPr>
        <w:t>2018年末，全</w:t>
      </w:r>
      <w:r>
        <w:rPr>
          <w:rFonts w:hint="eastAsia" w:eastAsia="仿宋_GB2312"/>
          <w:color w:val="000000" w:themeColor="text1"/>
          <w:kern w:val="0"/>
          <w:sz w:val="32"/>
          <w:szCs w:val="32"/>
        </w:rPr>
        <w:t>县</w:t>
      </w:r>
      <w:r>
        <w:rPr>
          <w:rFonts w:eastAsia="仿宋_GB2312"/>
          <w:color w:val="000000" w:themeColor="text1"/>
          <w:kern w:val="0"/>
          <w:sz w:val="32"/>
          <w:szCs w:val="32"/>
        </w:rPr>
        <w:t>房地产业企业法人单位的从业人员为</w:t>
      </w:r>
      <w:r>
        <w:rPr>
          <w:rFonts w:hint="eastAsia" w:eastAsia="仿宋_GB2312"/>
          <w:color w:val="000000" w:themeColor="text1"/>
          <w:kern w:val="0"/>
          <w:sz w:val="32"/>
          <w:szCs w:val="32"/>
        </w:rPr>
        <w:t>862</w:t>
      </w:r>
      <w:r>
        <w:rPr>
          <w:rFonts w:eastAsia="仿宋_GB2312"/>
          <w:color w:val="000000" w:themeColor="text1"/>
          <w:kern w:val="0"/>
          <w:sz w:val="32"/>
          <w:szCs w:val="32"/>
        </w:rPr>
        <w:t>人，比2013年末</w:t>
      </w:r>
      <w:r>
        <w:rPr>
          <w:rFonts w:hint="eastAsia" w:eastAsia="仿宋_GB2312"/>
          <w:color w:val="000000" w:themeColor="text1"/>
          <w:kern w:val="0"/>
          <w:sz w:val="32"/>
          <w:szCs w:val="32"/>
        </w:rPr>
        <w:t>下降8.9</w:t>
      </w:r>
      <w:r>
        <w:rPr>
          <w:rFonts w:eastAsia="仿宋_GB2312"/>
          <w:color w:val="000000" w:themeColor="text1"/>
          <w:kern w:val="0"/>
          <w:sz w:val="32"/>
          <w:szCs w:val="32"/>
        </w:rPr>
        <w:t>%。其中，房地产开发经营企业</w:t>
      </w:r>
      <w:r>
        <w:rPr>
          <w:rFonts w:hint="eastAsia" w:eastAsia="仿宋_GB2312"/>
          <w:color w:val="000000" w:themeColor="text1"/>
          <w:kern w:val="0"/>
          <w:sz w:val="32"/>
          <w:szCs w:val="32"/>
        </w:rPr>
        <w:t>456</w:t>
      </w:r>
      <w:r>
        <w:rPr>
          <w:rFonts w:eastAsia="仿宋_GB2312"/>
          <w:color w:val="000000" w:themeColor="text1"/>
          <w:kern w:val="0"/>
          <w:sz w:val="32"/>
          <w:szCs w:val="32"/>
        </w:rPr>
        <w:t>人，物业管理企业</w:t>
      </w:r>
      <w:r>
        <w:rPr>
          <w:rFonts w:hint="eastAsia" w:eastAsia="仿宋_GB2312"/>
          <w:color w:val="000000" w:themeColor="text1"/>
          <w:kern w:val="0"/>
          <w:sz w:val="32"/>
          <w:szCs w:val="32"/>
        </w:rPr>
        <w:t>331</w:t>
      </w:r>
      <w:r>
        <w:rPr>
          <w:rFonts w:eastAsia="仿宋_GB2312"/>
          <w:color w:val="000000" w:themeColor="text1"/>
          <w:kern w:val="0"/>
          <w:sz w:val="32"/>
          <w:szCs w:val="32"/>
        </w:rPr>
        <w:t>人，房地产中介服务企业</w:t>
      </w:r>
      <w:r>
        <w:rPr>
          <w:rFonts w:hint="eastAsia" w:eastAsia="仿宋_GB2312"/>
          <w:color w:val="000000" w:themeColor="text1"/>
          <w:kern w:val="0"/>
          <w:sz w:val="32"/>
          <w:szCs w:val="32"/>
        </w:rPr>
        <w:t>18</w:t>
      </w:r>
      <w:r>
        <w:rPr>
          <w:rFonts w:eastAsia="仿宋_GB2312"/>
          <w:color w:val="000000" w:themeColor="text1"/>
          <w:kern w:val="0"/>
          <w:sz w:val="32"/>
          <w:szCs w:val="32"/>
        </w:rPr>
        <w:t>人，分别比2013年末增长</w:t>
      </w:r>
      <w:r>
        <w:rPr>
          <w:rFonts w:hint="eastAsia" w:eastAsia="仿宋_GB2312"/>
          <w:color w:val="000000" w:themeColor="text1"/>
          <w:kern w:val="0"/>
          <w:sz w:val="32"/>
          <w:szCs w:val="32"/>
        </w:rPr>
        <w:t>12.6</w:t>
      </w:r>
      <w:r>
        <w:rPr>
          <w:rFonts w:eastAsia="仿宋_GB2312"/>
          <w:color w:val="000000" w:themeColor="text1"/>
          <w:kern w:val="0"/>
          <w:sz w:val="32"/>
          <w:szCs w:val="32"/>
        </w:rPr>
        <w:t>%、</w:t>
      </w:r>
      <w:r>
        <w:rPr>
          <w:rFonts w:hint="eastAsia" w:eastAsia="仿宋_GB2312"/>
          <w:color w:val="000000" w:themeColor="text1"/>
          <w:kern w:val="0"/>
          <w:sz w:val="32"/>
          <w:szCs w:val="32"/>
        </w:rPr>
        <w:t>143.4</w:t>
      </w:r>
      <w:r>
        <w:rPr>
          <w:rFonts w:eastAsia="仿宋_GB2312"/>
          <w:color w:val="000000" w:themeColor="text1"/>
          <w:kern w:val="0"/>
          <w:sz w:val="32"/>
          <w:szCs w:val="32"/>
        </w:rPr>
        <w:t>%和</w:t>
      </w:r>
      <w:r>
        <w:rPr>
          <w:rFonts w:hint="eastAsia" w:eastAsia="仿宋_GB2312"/>
          <w:color w:val="000000" w:themeColor="text1"/>
          <w:kern w:val="0"/>
          <w:sz w:val="32"/>
          <w:szCs w:val="32"/>
        </w:rPr>
        <w:t>下降30.8</w:t>
      </w:r>
      <w:r>
        <w:rPr>
          <w:rFonts w:eastAsia="仿宋_GB2312"/>
          <w:color w:val="000000" w:themeColor="text1"/>
          <w:kern w:val="0"/>
          <w:sz w:val="32"/>
          <w:szCs w:val="32"/>
        </w:rPr>
        <w:t>%（详见表4-14）。</w:t>
      </w:r>
    </w:p>
    <w:tbl>
      <w:tblPr>
        <w:tblStyle w:val="4"/>
        <w:tblW w:w="8000" w:type="dxa"/>
        <w:tblInd w:w="93" w:type="dxa"/>
        <w:tblLayout w:type="autofit"/>
        <w:tblCellMar>
          <w:top w:w="0" w:type="dxa"/>
          <w:left w:w="108" w:type="dxa"/>
          <w:bottom w:w="0" w:type="dxa"/>
          <w:right w:w="108" w:type="dxa"/>
        </w:tblCellMar>
      </w:tblPr>
      <w:tblGrid>
        <w:gridCol w:w="3760"/>
        <w:gridCol w:w="2260"/>
        <w:gridCol w:w="1980"/>
      </w:tblGrid>
      <w:tr>
        <w:trPr>
          <w:trHeight w:val="719" w:hRule="atLeast"/>
        </w:trPr>
        <w:tc>
          <w:tcPr>
            <w:tcW w:w="8000" w:type="dxa"/>
            <w:gridSpan w:val="3"/>
            <w:tcBorders>
              <w:top w:val="nil"/>
              <w:left w:val="nil"/>
              <w:bottom w:val="single" w:color="auto" w:sz="12" w:space="0"/>
              <w:right w:val="nil"/>
            </w:tcBorders>
            <w:shd w:val="clear" w:color="000000" w:fill="FFFFFF"/>
            <w:vAlign w:val="center"/>
          </w:tcPr>
          <w:p>
            <w:pPr>
              <w:widowControl/>
              <w:jc w:val="center"/>
              <w:rPr>
                <w:b/>
                <w:bCs/>
                <w:color w:val="000000"/>
                <w:kern w:val="0"/>
                <w:sz w:val="24"/>
              </w:rPr>
            </w:pPr>
            <w:r>
              <w:rPr>
                <w:b/>
                <w:bCs/>
                <w:color w:val="000000"/>
                <w:kern w:val="0"/>
                <w:sz w:val="24"/>
              </w:rPr>
              <w:t>表4-14</w:t>
            </w:r>
            <w:r>
              <w:rPr>
                <w:rFonts w:hint="eastAsia" w:ascii="宋体" w:hAnsi="宋体"/>
                <w:b/>
                <w:bCs/>
                <w:color w:val="000000"/>
                <w:kern w:val="0"/>
                <w:sz w:val="24"/>
              </w:rPr>
              <w:t>　按行业中类分组的房地产业企业法人单位和从业人员</w:t>
            </w:r>
          </w:p>
        </w:tc>
      </w:tr>
      <w:tr>
        <w:tblPrEx>
          <w:tblCellMar>
            <w:top w:w="0" w:type="dxa"/>
            <w:left w:w="108" w:type="dxa"/>
            <w:bottom w:w="0" w:type="dxa"/>
            <w:right w:w="108" w:type="dxa"/>
          </w:tblCellMar>
        </w:tblPrEx>
        <w:trPr>
          <w:trHeight w:val="510" w:hRule="atLeast"/>
        </w:trPr>
        <w:tc>
          <w:tcPr>
            <w:tcW w:w="3760"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Cs w:val="21"/>
              </w:rPr>
            </w:pPr>
            <w:r>
              <w:rPr>
                <w:color w:val="000000"/>
                <w:kern w:val="0"/>
                <w:szCs w:val="21"/>
              </w:rPr>
              <w:t>　</w:t>
            </w:r>
          </w:p>
        </w:tc>
        <w:tc>
          <w:tcPr>
            <w:tcW w:w="2260"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企业法人单位（个）</w:t>
            </w:r>
          </w:p>
        </w:tc>
        <w:tc>
          <w:tcPr>
            <w:tcW w:w="1980"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从业人员（人）</w:t>
            </w:r>
          </w:p>
        </w:tc>
      </w:tr>
      <w:tr>
        <w:tblPrEx>
          <w:tblCellMar>
            <w:top w:w="0" w:type="dxa"/>
            <w:left w:w="108" w:type="dxa"/>
            <w:bottom w:w="0" w:type="dxa"/>
            <w:right w:w="108" w:type="dxa"/>
          </w:tblCellMar>
        </w:tblPrEx>
        <w:trPr>
          <w:trHeight w:val="390" w:hRule="atLeast"/>
        </w:trPr>
        <w:tc>
          <w:tcPr>
            <w:tcW w:w="3760"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260" w:type="dxa"/>
            <w:tcBorders>
              <w:top w:val="nil"/>
              <w:left w:val="nil"/>
              <w:bottom w:val="nil"/>
              <w:right w:val="single" w:color="auto" w:sz="8" w:space="0"/>
            </w:tcBorders>
            <w:shd w:val="clear" w:color="auto" w:fill="auto"/>
            <w:vAlign w:val="center"/>
          </w:tcPr>
          <w:p>
            <w:pPr>
              <w:widowControl/>
              <w:jc w:val="center"/>
              <w:rPr>
                <w:b/>
                <w:bCs/>
                <w:color w:val="000000"/>
                <w:kern w:val="0"/>
                <w:sz w:val="22"/>
                <w:szCs w:val="22"/>
              </w:rPr>
            </w:pPr>
            <w:r>
              <w:rPr>
                <w:b/>
                <w:bCs/>
                <w:color w:val="000000"/>
                <w:kern w:val="0"/>
                <w:sz w:val="22"/>
                <w:szCs w:val="22"/>
              </w:rPr>
              <w:t>60</w:t>
            </w:r>
          </w:p>
        </w:tc>
        <w:tc>
          <w:tcPr>
            <w:tcW w:w="1980"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862</w:t>
            </w:r>
          </w:p>
        </w:tc>
      </w:tr>
      <w:tr>
        <w:tblPrEx>
          <w:tblCellMar>
            <w:top w:w="0" w:type="dxa"/>
            <w:left w:w="108" w:type="dxa"/>
            <w:bottom w:w="0" w:type="dxa"/>
            <w:right w:w="108" w:type="dxa"/>
          </w:tblCellMar>
        </w:tblPrEx>
        <w:trPr>
          <w:trHeight w:val="390" w:hRule="atLeast"/>
        </w:trPr>
        <w:tc>
          <w:tcPr>
            <w:tcW w:w="3760"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房地产开发经营</w:t>
            </w:r>
          </w:p>
        </w:tc>
        <w:tc>
          <w:tcPr>
            <w:tcW w:w="2260"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27</w:t>
            </w:r>
          </w:p>
        </w:tc>
        <w:tc>
          <w:tcPr>
            <w:tcW w:w="1980"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456</w:t>
            </w:r>
          </w:p>
        </w:tc>
      </w:tr>
      <w:tr>
        <w:tblPrEx>
          <w:tblCellMar>
            <w:top w:w="0" w:type="dxa"/>
            <w:left w:w="108" w:type="dxa"/>
            <w:bottom w:w="0" w:type="dxa"/>
            <w:right w:w="108" w:type="dxa"/>
          </w:tblCellMar>
        </w:tblPrEx>
        <w:trPr>
          <w:trHeight w:val="390" w:hRule="atLeast"/>
        </w:trPr>
        <w:tc>
          <w:tcPr>
            <w:tcW w:w="3760"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物业管理</w:t>
            </w:r>
          </w:p>
        </w:tc>
        <w:tc>
          <w:tcPr>
            <w:tcW w:w="2260" w:type="dxa"/>
            <w:tcBorders>
              <w:top w:val="nil"/>
              <w:left w:val="nil"/>
              <w:bottom w:val="nil"/>
              <w:right w:val="single" w:color="auto" w:sz="8"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198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331</w:t>
            </w:r>
          </w:p>
        </w:tc>
      </w:tr>
      <w:tr>
        <w:tblPrEx>
          <w:tblCellMar>
            <w:top w:w="0" w:type="dxa"/>
            <w:left w:w="108" w:type="dxa"/>
            <w:bottom w:w="0" w:type="dxa"/>
            <w:right w:w="108" w:type="dxa"/>
          </w:tblCellMar>
        </w:tblPrEx>
        <w:trPr>
          <w:trHeight w:val="390" w:hRule="atLeast"/>
        </w:trPr>
        <w:tc>
          <w:tcPr>
            <w:tcW w:w="3760"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房地产中介服务</w:t>
            </w:r>
          </w:p>
        </w:tc>
        <w:tc>
          <w:tcPr>
            <w:tcW w:w="2260" w:type="dxa"/>
            <w:tcBorders>
              <w:top w:val="nil"/>
              <w:left w:val="nil"/>
              <w:bottom w:val="nil"/>
              <w:right w:val="single" w:color="auto" w:sz="8"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98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r>
      <w:tr>
        <w:tblPrEx>
          <w:tblCellMar>
            <w:top w:w="0" w:type="dxa"/>
            <w:left w:w="108" w:type="dxa"/>
            <w:bottom w:w="0" w:type="dxa"/>
            <w:right w:w="108" w:type="dxa"/>
          </w:tblCellMar>
        </w:tblPrEx>
        <w:trPr>
          <w:trHeight w:val="390" w:hRule="atLeast"/>
        </w:trPr>
        <w:tc>
          <w:tcPr>
            <w:tcW w:w="3760" w:type="dxa"/>
            <w:tcBorders>
              <w:top w:val="nil"/>
              <w:left w:val="nil"/>
              <w:bottom w:val="nil"/>
              <w:right w:val="single" w:color="auto" w:sz="8" w:space="0"/>
            </w:tcBorders>
            <w:shd w:val="clear" w:color="auto" w:fill="auto"/>
            <w:vAlign w:val="center"/>
          </w:tcPr>
          <w:p>
            <w:pPr>
              <w:widowControl/>
              <w:jc w:val="left"/>
              <w:rPr>
                <w:color w:val="000000"/>
                <w:kern w:val="0"/>
                <w:szCs w:val="21"/>
              </w:rPr>
            </w:pPr>
            <w:r>
              <w:rPr>
                <w:color w:val="000000"/>
                <w:kern w:val="0"/>
                <w:szCs w:val="21"/>
              </w:rPr>
              <w:t xml:space="preserve">    </w:t>
            </w:r>
            <w:r>
              <w:rPr>
                <w:rFonts w:hint="eastAsia" w:ascii="宋体" w:hAnsi="宋体"/>
                <w:color w:val="000000"/>
                <w:kern w:val="0"/>
                <w:szCs w:val="21"/>
              </w:rPr>
              <w:t>房地产租赁经营</w:t>
            </w:r>
          </w:p>
        </w:tc>
        <w:tc>
          <w:tcPr>
            <w:tcW w:w="2260" w:type="dxa"/>
            <w:tcBorders>
              <w:top w:val="nil"/>
              <w:left w:val="nil"/>
              <w:bottom w:val="nil"/>
              <w:right w:val="single" w:color="auto" w:sz="8"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98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57</w:t>
            </w:r>
          </w:p>
        </w:tc>
      </w:tr>
      <w:tr>
        <w:tblPrEx>
          <w:tblCellMar>
            <w:top w:w="0" w:type="dxa"/>
            <w:left w:w="108" w:type="dxa"/>
            <w:bottom w:w="0" w:type="dxa"/>
            <w:right w:w="108" w:type="dxa"/>
          </w:tblCellMar>
        </w:tblPrEx>
        <w:trPr>
          <w:trHeight w:val="390" w:hRule="atLeast"/>
        </w:trPr>
        <w:tc>
          <w:tcPr>
            <w:tcW w:w="3760" w:type="dxa"/>
            <w:tcBorders>
              <w:top w:val="nil"/>
              <w:left w:val="nil"/>
              <w:bottom w:val="single" w:color="auto" w:sz="12" w:space="0"/>
              <w:right w:val="single" w:color="auto" w:sz="8" w:space="0"/>
            </w:tcBorders>
            <w:shd w:val="clear" w:color="auto" w:fill="auto"/>
            <w:vAlign w:val="center"/>
          </w:tcPr>
          <w:p>
            <w:pPr>
              <w:widowControl/>
              <w:rPr>
                <w:color w:val="000000"/>
                <w:kern w:val="0"/>
                <w:szCs w:val="21"/>
              </w:rPr>
            </w:pPr>
            <w:r>
              <w:rPr>
                <w:rFonts w:hint="eastAsia" w:ascii="宋体" w:hAnsi="宋体"/>
                <w:color w:val="000000"/>
                <w:kern w:val="0"/>
                <w:szCs w:val="21"/>
              </w:rPr>
              <w:t>　</w:t>
            </w:r>
            <w:r>
              <w:rPr>
                <w:color w:val="000000"/>
                <w:kern w:val="0"/>
                <w:szCs w:val="21"/>
              </w:rPr>
              <w:t xml:space="preserve"> </w:t>
            </w:r>
            <w:r>
              <w:rPr>
                <w:rFonts w:hint="eastAsia" w:ascii="宋体" w:hAnsi="宋体"/>
                <w:color w:val="000000"/>
                <w:kern w:val="0"/>
                <w:szCs w:val="21"/>
              </w:rPr>
              <w:t>其他房地产业</w:t>
            </w:r>
          </w:p>
        </w:tc>
        <w:tc>
          <w:tcPr>
            <w:tcW w:w="2260" w:type="dxa"/>
            <w:tcBorders>
              <w:top w:val="nil"/>
              <w:left w:val="nil"/>
              <w:bottom w:val="single" w:color="000000" w:sz="12" w:space="0"/>
              <w:right w:val="single" w:color="auto" w:sz="8" w:space="0"/>
            </w:tcBorders>
            <w:shd w:val="clear" w:color="auto" w:fill="auto"/>
            <w:vAlign w:val="center"/>
          </w:tcPr>
          <w:p>
            <w:pPr>
              <w:widowControl/>
              <w:jc w:val="center"/>
              <w:rPr>
                <w:color w:val="000000"/>
                <w:kern w:val="0"/>
                <w:sz w:val="24"/>
              </w:rPr>
            </w:pPr>
            <w:r>
              <w:rPr>
                <w:color w:val="000000"/>
                <w:kern w:val="0"/>
                <w:sz w:val="24"/>
              </w:rPr>
              <w:t>　</w:t>
            </w:r>
          </w:p>
        </w:tc>
        <w:tc>
          <w:tcPr>
            <w:tcW w:w="1980" w:type="dxa"/>
            <w:tcBorders>
              <w:top w:val="nil"/>
              <w:left w:val="nil"/>
              <w:bottom w:val="single" w:color="000000" w:sz="12" w:space="0"/>
              <w:right w:val="nil"/>
            </w:tcBorders>
            <w:shd w:val="clear" w:color="auto" w:fill="auto"/>
            <w:vAlign w:val="center"/>
          </w:tcPr>
          <w:p>
            <w:pPr>
              <w:widowControl/>
              <w:jc w:val="center"/>
              <w:rPr>
                <w:color w:val="000000"/>
                <w:kern w:val="0"/>
                <w:sz w:val="24"/>
              </w:rPr>
            </w:pPr>
            <w:r>
              <w:rPr>
                <w:color w:val="000000"/>
                <w:kern w:val="0"/>
                <w:sz w:val="24"/>
              </w:rPr>
              <w:t>　</w:t>
            </w:r>
          </w:p>
        </w:tc>
      </w:tr>
    </w:tbl>
    <w:p>
      <w:pPr>
        <w:spacing w:line="600" w:lineRule="exact"/>
        <w:ind w:firstLine="640" w:firstLineChars="200"/>
        <w:rPr>
          <w:rFonts w:eastAsia="仿宋_GB2312"/>
          <w:color w:val="000000"/>
          <w:kern w:val="0"/>
          <w:sz w:val="32"/>
          <w:szCs w:val="32"/>
        </w:rPr>
      </w:pPr>
    </w:p>
    <w:p>
      <w:pPr>
        <w:widowControl/>
        <w:spacing w:line="600" w:lineRule="exact"/>
        <w:ind w:firstLine="643" w:firstLineChars="200"/>
        <w:rPr>
          <w:rFonts w:eastAsia="楷体_GB2312"/>
          <w:b/>
          <w:kern w:val="0"/>
          <w:sz w:val="32"/>
          <w:szCs w:val="32"/>
        </w:rPr>
      </w:pPr>
      <w:r>
        <w:rPr>
          <w:rFonts w:eastAsia="楷体_GB2312"/>
          <w:b/>
          <w:kern w:val="0"/>
          <w:sz w:val="32"/>
          <w:szCs w:val="32"/>
        </w:rPr>
        <w:t>（二）主要经济指标</w:t>
      </w:r>
      <w:r>
        <w:rPr>
          <w:rFonts w:eastAsia="仿宋_GB2312"/>
          <w:b/>
          <w:kern w:val="0"/>
          <w:sz w:val="32"/>
          <w:szCs w:val="32"/>
        </w:rPr>
        <w:t>。</w:t>
      </w:r>
    </w:p>
    <w:p>
      <w:pPr>
        <w:spacing w:line="600" w:lineRule="exact"/>
        <w:ind w:firstLine="640" w:firstLineChars="200"/>
        <w:rPr>
          <w:rFonts w:eastAsia="仿宋_GB2312"/>
          <w:color w:val="000000" w:themeColor="text1"/>
          <w:kern w:val="0"/>
          <w:sz w:val="32"/>
          <w:szCs w:val="32"/>
        </w:rPr>
      </w:pPr>
      <w:r>
        <w:rPr>
          <w:rFonts w:eastAsia="仿宋_GB2312"/>
          <w:color w:val="000000" w:themeColor="text1"/>
          <w:kern w:val="0"/>
          <w:sz w:val="32"/>
          <w:szCs w:val="32"/>
        </w:rPr>
        <w:t>2018年末，全</w:t>
      </w:r>
      <w:r>
        <w:rPr>
          <w:rFonts w:hint="eastAsia" w:eastAsia="仿宋_GB2312"/>
          <w:color w:val="000000" w:themeColor="text1"/>
          <w:kern w:val="0"/>
          <w:sz w:val="32"/>
          <w:szCs w:val="32"/>
        </w:rPr>
        <w:t>县</w:t>
      </w:r>
      <w:r>
        <w:rPr>
          <w:rFonts w:eastAsia="仿宋_GB2312"/>
          <w:color w:val="000000" w:themeColor="text1"/>
          <w:kern w:val="0"/>
          <w:sz w:val="32"/>
          <w:szCs w:val="32"/>
        </w:rPr>
        <w:t>房地产业企业法人单位的资产总计为</w:t>
      </w:r>
      <w:r>
        <w:rPr>
          <w:rFonts w:hint="eastAsia" w:eastAsia="仿宋_GB2312"/>
          <w:color w:val="000000" w:themeColor="text1"/>
          <w:kern w:val="0"/>
          <w:sz w:val="32"/>
          <w:szCs w:val="32"/>
        </w:rPr>
        <w:t>347610</w:t>
      </w:r>
      <w:r>
        <w:rPr>
          <w:rFonts w:eastAsia="仿宋_GB2312"/>
          <w:color w:val="000000" w:themeColor="text1"/>
          <w:kern w:val="0"/>
          <w:sz w:val="32"/>
          <w:szCs w:val="32"/>
        </w:rPr>
        <w:t>万元，比2013年末增长</w:t>
      </w:r>
      <w:r>
        <w:rPr>
          <w:rFonts w:hint="eastAsia" w:eastAsia="仿宋_GB2312"/>
          <w:color w:val="000000" w:themeColor="text1"/>
          <w:kern w:val="0"/>
          <w:sz w:val="32"/>
          <w:szCs w:val="32"/>
        </w:rPr>
        <w:t>454.5</w:t>
      </w:r>
      <w:r>
        <w:rPr>
          <w:rFonts w:eastAsia="仿宋_GB2312"/>
          <w:color w:val="000000" w:themeColor="text1"/>
          <w:kern w:val="0"/>
          <w:sz w:val="32"/>
          <w:szCs w:val="32"/>
        </w:rPr>
        <w:t>%。其中，房地产开发经营企业</w:t>
      </w:r>
      <w:r>
        <w:rPr>
          <w:rFonts w:hint="eastAsia" w:eastAsia="仿宋_GB2312"/>
          <w:color w:val="000000" w:themeColor="text1"/>
          <w:kern w:val="0"/>
          <w:sz w:val="32"/>
          <w:szCs w:val="32"/>
        </w:rPr>
        <w:t>323623.3</w:t>
      </w:r>
      <w:r>
        <w:rPr>
          <w:rFonts w:eastAsia="仿宋_GB2312"/>
          <w:color w:val="000000" w:themeColor="text1"/>
          <w:kern w:val="0"/>
          <w:sz w:val="32"/>
          <w:szCs w:val="32"/>
        </w:rPr>
        <w:t>万元，物业管理企业</w:t>
      </w:r>
      <w:r>
        <w:rPr>
          <w:rFonts w:hint="eastAsia" w:eastAsia="仿宋_GB2312"/>
          <w:color w:val="000000" w:themeColor="text1"/>
          <w:kern w:val="0"/>
          <w:sz w:val="32"/>
          <w:szCs w:val="32"/>
        </w:rPr>
        <w:t>12989.8</w:t>
      </w:r>
      <w:r>
        <w:rPr>
          <w:rFonts w:eastAsia="仿宋_GB2312"/>
          <w:color w:val="000000" w:themeColor="text1"/>
          <w:kern w:val="0"/>
          <w:sz w:val="32"/>
          <w:szCs w:val="32"/>
        </w:rPr>
        <w:t>万元，房地产中介服务企业</w:t>
      </w:r>
      <w:r>
        <w:rPr>
          <w:rFonts w:hint="eastAsia" w:eastAsia="仿宋_GB2312"/>
          <w:color w:val="000000" w:themeColor="text1"/>
          <w:kern w:val="0"/>
          <w:sz w:val="32"/>
          <w:szCs w:val="32"/>
        </w:rPr>
        <w:t>21.3</w:t>
      </w:r>
      <w:r>
        <w:rPr>
          <w:rFonts w:eastAsia="仿宋_GB2312"/>
          <w:color w:val="000000" w:themeColor="text1"/>
          <w:kern w:val="0"/>
          <w:sz w:val="32"/>
          <w:szCs w:val="32"/>
        </w:rPr>
        <w:t>万元，分别比2013年末增长</w:t>
      </w:r>
      <w:r>
        <w:rPr>
          <w:rFonts w:hint="eastAsia" w:eastAsia="仿宋_GB2312"/>
          <w:color w:val="000000" w:themeColor="text1"/>
          <w:kern w:val="0"/>
          <w:sz w:val="32"/>
          <w:szCs w:val="32"/>
        </w:rPr>
        <w:t>63.9</w:t>
      </w:r>
      <w:r>
        <w:rPr>
          <w:rFonts w:eastAsia="仿宋_GB2312"/>
          <w:color w:val="000000" w:themeColor="text1"/>
          <w:kern w:val="0"/>
          <w:sz w:val="32"/>
          <w:szCs w:val="32"/>
        </w:rPr>
        <w:t>%，</w:t>
      </w:r>
      <w:r>
        <w:rPr>
          <w:rFonts w:hint="eastAsia" w:eastAsia="仿宋_GB2312"/>
          <w:color w:val="000000" w:themeColor="text1"/>
          <w:kern w:val="0"/>
          <w:sz w:val="32"/>
          <w:szCs w:val="32"/>
        </w:rPr>
        <w:t>1072.5</w:t>
      </w:r>
      <w:r>
        <w:rPr>
          <w:rFonts w:eastAsia="仿宋_GB2312"/>
          <w:color w:val="000000" w:themeColor="text1"/>
          <w:kern w:val="0"/>
          <w:sz w:val="32"/>
          <w:szCs w:val="32"/>
        </w:rPr>
        <w:t>%和</w:t>
      </w:r>
      <w:r>
        <w:rPr>
          <w:rFonts w:hint="eastAsia" w:eastAsia="仿宋_GB2312"/>
          <w:color w:val="000000" w:themeColor="text1"/>
          <w:kern w:val="0"/>
          <w:sz w:val="32"/>
          <w:szCs w:val="32"/>
        </w:rPr>
        <w:t>下降85.3</w:t>
      </w:r>
      <w:r>
        <w:rPr>
          <w:rFonts w:eastAsia="仿宋_GB2312"/>
          <w:color w:val="000000" w:themeColor="text1"/>
          <w:kern w:val="0"/>
          <w:sz w:val="32"/>
          <w:szCs w:val="32"/>
        </w:rPr>
        <w:t>%。负债合计</w:t>
      </w:r>
      <w:r>
        <w:rPr>
          <w:rFonts w:hint="eastAsia" w:eastAsia="仿宋_GB2312"/>
          <w:color w:val="000000" w:themeColor="text1"/>
          <w:kern w:val="0"/>
          <w:sz w:val="32"/>
          <w:szCs w:val="32"/>
        </w:rPr>
        <w:t>193502</w:t>
      </w:r>
      <w:r>
        <w:rPr>
          <w:rFonts w:eastAsia="仿宋_GB2312"/>
          <w:color w:val="000000" w:themeColor="text1"/>
          <w:kern w:val="0"/>
          <w:sz w:val="32"/>
          <w:szCs w:val="32"/>
        </w:rPr>
        <w:t>万元。全年实现营业收入</w:t>
      </w:r>
      <w:r>
        <w:rPr>
          <w:rFonts w:hint="eastAsia" w:eastAsia="仿宋_GB2312"/>
          <w:color w:val="000000" w:themeColor="text1"/>
          <w:kern w:val="0"/>
          <w:sz w:val="32"/>
          <w:szCs w:val="32"/>
        </w:rPr>
        <w:t>50722.1</w:t>
      </w:r>
      <w:r>
        <w:rPr>
          <w:rFonts w:eastAsia="仿宋_GB2312"/>
          <w:color w:val="000000" w:themeColor="text1"/>
          <w:kern w:val="0"/>
          <w:sz w:val="32"/>
          <w:szCs w:val="32"/>
        </w:rPr>
        <w:t>万元（详见表4-15）。</w:t>
      </w:r>
    </w:p>
    <w:tbl>
      <w:tblPr>
        <w:tblStyle w:val="4"/>
        <w:tblW w:w="8222" w:type="dxa"/>
        <w:tblInd w:w="250" w:type="dxa"/>
        <w:tblLayout w:type="autofit"/>
        <w:tblCellMar>
          <w:top w:w="0" w:type="dxa"/>
          <w:left w:w="108" w:type="dxa"/>
          <w:bottom w:w="0" w:type="dxa"/>
          <w:right w:w="108" w:type="dxa"/>
        </w:tblCellMar>
      </w:tblPr>
      <w:tblGrid>
        <w:gridCol w:w="2410"/>
        <w:gridCol w:w="1984"/>
        <w:gridCol w:w="1985"/>
        <w:gridCol w:w="1843"/>
      </w:tblGrid>
      <w:tr>
        <w:tblPrEx>
          <w:tblCellMar>
            <w:top w:w="0" w:type="dxa"/>
            <w:left w:w="108" w:type="dxa"/>
            <w:bottom w:w="0" w:type="dxa"/>
            <w:right w:w="108" w:type="dxa"/>
          </w:tblCellMar>
        </w:tblPrEx>
        <w:trPr>
          <w:trHeight w:val="769" w:hRule="atLeast"/>
        </w:trPr>
        <w:tc>
          <w:tcPr>
            <w:tcW w:w="8222" w:type="dxa"/>
            <w:gridSpan w:val="4"/>
            <w:tcBorders>
              <w:top w:val="nil"/>
              <w:left w:val="nil"/>
              <w:bottom w:val="single" w:color="auto" w:sz="12" w:space="0"/>
              <w:right w:val="nil"/>
            </w:tcBorders>
            <w:shd w:val="clear" w:color="000000" w:fill="FFFFFF"/>
            <w:vAlign w:val="center"/>
          </w:tcPr>
          <w:p>
            <w:pPr>
              <w:widowControl/>
              <w:jc w:val="center"/>
              <w:rPr>
                <w:b/>
                <w:bCs/>
                <w:color w:val="000000"/>
                <w:kern w:val="0"/>
                <w:sz w:val="24"/>
              </w:rPr>
            </w:pPr>
            <w:r>
              <w:rPr>
                <w:b/>
                <w:bCs/>
                <w:color w:val="000000"/>
                <w:kern w:val="0"/>
                <w:sz w:val="24"/>
              </w:rPr>
              <w:t>表4-15</w:t>
            </w:r>
            <w:r>
              <w:rPr>
                <w:rFonts w:hint="eastAsia" w:ascii="宋体" w:hAnsi="宋体"/>
                <w:b/>
                <w:bCs/>
                <w:color w:val="000000"/>
                <w:kern w:val="0"/>
                <w:sz w:val="24"/>
              </w:rPr>
              <w:t>　按行业中类分组的房地产业企业法人单位主要经济指标</w:t>
            </w:r>
          </w:p>
        </w:tc>
      </w:tr>
      <w:tr>
        <w:tblPrEx>
          <w:tblCellMar>
            <w:top w:w="0" w:type="dxa"/>
            <w:left w:w="108" w:type="dxa"/>
            <w:bottom w:w="0" w:type="dxa"/>
            <w:right w:w="108" w:type="dxa"/>
          </w:tblCellMar>
        </w:tblPrEx>
        <w:trPr>
          <w:trHeight w:val="405" w:hRule="atLeast"/>
        </w:trPr>
        <w:tc>
          <w:tcPr>
            <w:tcW w:w="2410" w:type="dxa"/>
            <w:vMerge w:val="restart"/>
            <w:tcBorders>
              <w:top w:val="nil"/>
              <w:left w:val="nil"/>
              <w:bottom w:val="single" w:color="auto"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1984"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资产总计</w:t>
            </w:r>
          </w:p>
        </w:tc>
        <w:tc>
          <w:tcPr>
            <w:tcW w:w="1985"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负债合计</w:t>
            </w:r>
          </w:p>
        </w:tc>
        <w:tc>
          <w:tcPr>
            <w:tcW w:w="1843"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营业收入</w:t>
            </w:r>
          </w:p>
        </w:tc>
      </w:tr>
      <w:tr>
        <w:tblPrEx>
          <w:tblCellMar>
            <w:top w:w="0" w:type="dxa"/>
            <w:left w:w="108" w:type="dxa"/>
            <w:bottom w:w="0" w:type="dxa"/>
            <w:right w:w="108" w:type="dxa"/>
          </w:tblCellMar>
        </w:tblPrEx>
        <w:trPr>
          <w:trHeight w:val="360" w:hRule="atLeast"/>
        </w:trPr>
        <w:tc>
          <w:tcPr>
            <w:tcW w:w="2410" w:type="dxa"/>
            <w:vMerge w:val="continue"/>
            <w:tcBorders>
              <w:top w:val="nil"/>
              <w:left w:val="nil"/>
              <w:bottom w:val="single" w:color="auto" w:sz="8" w:space="0"/>
              <w:right w:val="single" w:color="auto" w:sz="12" w:space="0"/>
            </w:tcBorders>
            <w:vAlign w:val="center"/>
          </w:tcPr>
          <w:p>
            <w:pPr>
              <w:widowControl/>
              <w:jc w:val="left"/>
              <w:rPr>
                <w:b/>
                <w:bCs/>
                <w:color w:val="000000"/>
                <w:kern w:val="0"/>
                <w:szCs w:val="21"/>
              </w:rPr>
            </w:pPr>
          </w:p>
        </w:tc>
        <w:tc>
          <w:tcPr>
            <w:tcW w:w="1984" w:type="dxa"/>
            <w:tcBorders>
              <w:top w:val="nil"/>
              <w:left w:val="nil"/>
              <w:bottom w:val="single" w:color="auto"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985" w:type="dxa"/>
            <w:tcBorders>
              <w:top w:val="nil"/>
              <w:left w:val="nil"/>
              <w:bottom w:val="single" w:color="auto"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843"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（万元）</w:t>
            </w:r>
          </w:p>
        </w:tc>
      </w:tr>
      <w:tr>
        <w:tblPrEx>
          <w:tblCellMar>
            <w:top w:w="0" w:type="dxa"/>
            <w:left w:w="108" w:type="dxa"/>
            <w:bottom w:w="0" w:type="dxa"/>
            <w:right w:w="108" w:type="dxa"/>
          </w:tblCellMar>
        </w:tblPrEx>
        <w:trPr>
          <w:trHeight w:val="405" w:hRule="atLeast"/>
        </w:trPr>
        <w:tc>
          <w:tcPr>
            <w:tcW w:w="2410"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1984" w:type="dxa"/>
            <w:tcBorders>
              <w:top w:val="nil"/>
              <w:left w:val="nil"/>
              <w:bottom w:val="nil"/>
              <w:right w:val="single" w:color="auto" w:sz="12" w:space="0"/>
            </w:tcBorders>
            <w:shd w:val="clear" w:color="auto" w:fill="auto"/>
            <w:vAlign w:val="bottom"/>
          </w:tcPr>
          <w:p>
            <w:pPr>
              <w:widowControl/>
              <w:jc w:val="center"/>
              <w:rPr>
                <w:b/>
                <w:bCs/>
                <w:color w:val="000000"/>
                <w:kern w:val="0"/>
                <w:szCs w:val="21"/>
              </w:rPr>
            </w:pPr>
            <w:r>
              <w:rPr>
                <w:b/>
                <w:bCs/>
                <w:color w:val="000000"/>
                <w:kern w:val="0"/>
                <w:szCs w:val="21"/>
              </w:rPr>
              <w:t>347610</w:t>
            </w:r>
          </w:p>
        </w:tc>
        <w:tc>
          <w:tcPr>
            <w:tcW w:w="1985" w:type="dxa"/>
            <w:tcBorders>
              <w:top w:val="nil"/>
              <w:left w:val="nil"/>
              <w:bottom w:val="nil"/>
              <w:right w:val="single" w:color="auto" w:sz="12" w:space="0"/>
            </w:tcBorders>
            <w:shd w:val="clear" w:color="auto" w:fill="auto"/>
            <w:vAlign w:val="bottom"/>
          </w:tcPr>
          <w:p>
            <w:pPr>
              <w:widowControl/>
              <w:jc w:val="center"/>
              <w:rPr>
                <w:b/>
                <w:bCs/>
                <w:color w:val="000000"/>
                <w:kern w:val="0"/>
                <w:szCs w:val="21"/>
              </w:rPr>
            </w:pPr>
            <w:r>
              <w:rPr>
                <w:b/>
                <w:bCs/>
                <w:color w:val="000000"/>
                <w:kern w:val="0"/>
                <w:szCs w:val="21"/>
              </w:rPr>
              <w:t>193502</w:t>
            </w:r>
          </w:p>
        </w:tc>
        <w:tc>
          <w:tcPr>
            <w:tcW w:w="1843" w:type="dxa"/>
            <w:tcBorders>
              <w:top w:val="nil"/>
              <w:left w:val="nil"/>
              <w:bottom w:val="nil"/>
              <w:right w:val="nil"/>
            </w:tcBorders>
            <w:shd w:val="clear" w:color="auto" w:fill="auto"/>
            <w:vAlign w:val="bottom"/>
          </w:tcPr>
          <w:p>
            <w:pPr>
              <w:widowControl/>
              <w:jc w:val="center"/>
              <w:rPr>
                <w:b/>
                <w:bCs/>
                <w:color w:val="000000"/>
                <w:kern w:val="0"/>
                <w:szCs w:val="21"/>
              </w:rPr>
            </w:pPr>
            <w:r>
              <w:rPr>
                <w:b/>
                <w:bCs/>
                <w:color w:val="000000"/>
                <w:kern w:val="0"/>
                <w:szCs w:val="21"/>
              </w:rPr>
              <w:t>50722.1</w:t>
            </w:r>
          </w:p>
        </w:tc>
      </w:tr>
      <w:tr>
        <w:tblPrEx>
          <w:tblCellMar>
            <w:top w:w="0" w:type="dxa"/>
            <w:left w:w="108" w:type="dxa"/>
            <w:bottom w:w="0" w:type="dxa"/>
            <w:right w:w="108" w:type="dxa"/>
          </w:tblCellMar>
        </w:tblPrEx>
        <w:trPr>
          <w:trHeight w:val="405" w:hRule="atLeast"/>
        </w:trPr>
        <w:tc>
          <w:tcPr>
            <w:tcW w:w="2410"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房地产开发经营</w:t>
            </w:r>
          </w:p>
        </w:tc>
        <w:tc>
          <w:tcPr>
            <w:tcW w:w="1984"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323623.3</w:t>
            </w:r>
          </w:p>
        </w:tc>
        <w:tc>
          <w:tcPr>
            <w:tcW w:w="1985" w:type="dxa"/>
            <w:tcBorders>
              <w:top w:val="nil"/>
              <w:left w:val="nil"/>
              <w:bottom w:val="nil"/>
              <w:right w:val="single" w:color="auto" w:sz="12" w:space="0"/>
            </w:tcBorders>
            <w:shd w:val="clear" w:color="auto" w:fill="auto"/>
            <w:vAlign w:val="center"/>
          </w:tcPr>
          <w:p>
            <w:pPr>
              <w:widowControl/>
              <w:jc w:val="center"/>
              <w:rPr>
                <w:rFonts w:ascii="Helvetica" w:hAnsi="Helvetica" w:cs="宋体"/>
                <w:color w:val="000000"/>
                <w:kern w:val="0"/>
                <w:szCs w:val="21"/>
              </w:rPr>
            </w:pPr>
            <w:r>
              <w:rPr>
                <w:rFonts w:ascii="Helvetica" w:hAnsi="Helvetica" w:cs="宋体"/>
                <w:color w:val="000000"/>
                <w:kern w:val="0"/>
                <w:szCs w:val="21"/>
              </w:rPr>
              <w:t>184328.2</w:t>
            </w:r>
          </w:p>
        </w:tc>
        <w:tc>
          <w:tcPr>
            <w:tcW w:w="1843" w:type="dxa"/>
            <w:tcBorders>
              <w:top w:val="nil"/>
              <w:left w:val="nil"/>
              <w:bottom w:val="nil"/>
              <w:right w:val="nil"/>
            </w:tcBorders>
            <w:shd w:val="clear" w:color="auto" w:fill="auto"/>
            <w:vAlign w:val="center"/>
          </w:tcPr>
          <w:p>
            <w:pPr>
              <w:widowControl/>
              <w:jc w:val="center"/>
              <w:rPr>
                <w:rFonts w:ascii="Helvetica" w:hAnsi="Helvetica" w:cs="宋体"/>
                <w:color w:val="000000"/>
                <w:kern w:val="0"/>
                <w:szCs w:val="21"/>
              </w:rPr>
            </w:pPr>
            <w:r>
              <w:rPr>
                <w:rFonts w:ascii="Helvetica" w:hAnsi="Helvetica" w:cs="宋体"/>
                <w:color w:val="000000"/>
                <w:kern w:val="0"/>
                <w:szCs w:val="21"/>
              </w:rPr>
              <w:t>47334.4</w:t>
            </w:r>
          </w:p>
        </w:tc>
      </w:tr>
      <w:tr>
        <w:tblPrEx>
          <w:tblCellMar>
            <w:top w:w="0" w:type="dxa"/>
            <w:left w:w="108" w:type="dxa"/>
            <w:bottom w:w="0" w:type="dxa"/>
            <w:right w:w="108" w:type="dxa"/>
          </w:tblCellMar>
        </w:tblPrEx>
        <w:trPr>
          <w:trHeight w:val="405" w:hRule="atLeast"/>
        </w:trPr>
        <w:tc>
          <w:tcPr>
            <w:tcW w:w="2410"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物业管理</w:t>
            </w:r>
          </w:p>
        </w:tc>
        <w:tc>
          <w:tcPr>
            <w:tcW w:w="1984"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12989.8</w:t>
            </w:r>
          </w:p>
        </w:tc>
        <w:tc>
          <w:tcPr>
            <w:tcW w:w="1985"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8486.2</w:t>
            </w:r>
          </w:p>
        </w:tc>
        <w:tc>
          <w:tcPr>
            <w:tcW w:w="1843"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2692.8</w:t>
            </w:r>
          </w:p>
        </w:tc>
      </w:tr>
      <w:tr>
        <w:tblPrEx>
          <w:tblCellMar>
            <w:top w:w="0" w:type="dxa"/>
            <w:left w:w="108" w:type="dxa"/>
            <w:bottom w:w="0" w:type="dxa"/>
            <w:right w:w="108" w:type="dxa"/>
          </w:tblCellMar>
        </w:tblPrEx>
        <w:trPr>
          <w:trHeight w:val="405" w:hRule="atLeast"/>
        </w:trPr>
        <w:tc>
          <w:tcPr>
            <w:tcW w:w="2410"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房地产中介服务</w:t>
            </w:r>
          </w:p>
        </w:tc>
        <w:tc>
          <w:tcPr>
            <w:tcW w:w="1984"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21.3</w:t>
            </w:r>
          </w:p>
        </w:tc>
        <w:tc>
          <w:tcPr>
            <w:tcW w:w="1985"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5.2</w:t>
            </w:r>
          </w:p>
        </w:tc>
        <w:tc>
          <w:tcPr>
            <w:tcW w:w="1843"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107.3</w:t>
            </w:r>
          </w:p>
        </w:tc>
      </w:tr>
      <w:tr>
        <w:tblPrEx>
          <w:tblCellMar>
            <w:top w:w="0" w:type="dxa"/>
            <w:left w:w="108" w:type="dxa"/>
            <w:bottom w:w="0" w:type="dxa"/>
            <w:right w:w="108" w:type="dxa"/>
          </w:tblCellMar>
        </w:tblPrEx>
        <w:trPr>
          <w:trHeight w:val="405" w:hRule="atLeast"/>
        </w:trPr>
        <w:tc>
          <w:tcPr>
            <w:tcW w:w="2410"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房地产租赁经营</w:t>
            </w:r>
          </w:p>
        </w:tc>
        <w:tc>
          <w:tcPr>
            <w:tcW w:w="1984"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10975.6</w:t>
            </w:r>
          </w:p>
        </w:tc>
        <w:tc>
          <w:tcPr>
            <w:tcW w:w="1985" w:type="dxa"/>
            <w:tcBorders>
              <w:top w:val="nil"/>
              <w:left w:val="nil"/>
              <w:bottom w:val="nil"/>
              <w:right w:val="single" w:color="auto" w:sz="12"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682.4</w:t>
            </w:r>
          </w:p>
        </w:tc>
        <w:tc>
          <w:tcPr>
            <w:tcW w:w="1843"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587.6</w:t>
            </w:r>
          </w:p>
        </w:tc>
      </w:tr>
      <w:tr>
        <w:tblPrEx>
          <w:tblCellMar>
            <w:top w:w="0" w:type="dxa"/>
            <w:left w:w="108" w:type="dxa"/>
            <w:bottom w:w="0" w:type="dxa"/>
            <w:right w:w="108" w:type="dxa"/>
          </w:tblCellMar>
        </w:tblPrEx>
        <w:trPr>
          <w:trHeight w:val="405" w:hRule="atLeast"/>
        </w:trPr>
        <w:tc>
          <w:tcPr>
            <w:tcW w:w="2410" w:type="dxa"/>
            <w:tcBorders>
              <w:top w:val="nil"/>
              <w:left w:val="nil"/>
              <w:bottom w:val="single" w:color="auto" w:sz="12" w:space="0"/>
              <w:right w:val="single" w:color="auto" w:sz="12" w:space="0"/>
            </w:tcBorders>
            <w:shd w:val="clear" w:color="auto" w:fill="auto"/>
          </w:tcPr>
          <w:p>
            <w:pPr>
              <w:widowControl/>
              <w:rPr>
                <w:color w:val="000000"/>
                <w:kern w:val="0"/>
                <w:szCs w:val="21"/>
              </w:rPr>
            </w:pPr>
            <w:r>
              <w:rPr>
                <w:color w:val="000000"/>
                <w:kern w:val="0"/>
                <w:szCs w:val="21"/>
              </w:rPr>
              <w:t>　其他房地产业</w:t>
            </w:r>
          </w:p>
        </w:tc>
        <w:tc>
          <w:tcPr>
            <w:tcW w:w="1984" w:type="dxa"/>
            <w:tcBorders>
              <w:top w:val="nil"/>
              <w:left w:val="nil"/>
              <w:bottom w:val="single" w:color="000000" w:sz="12" w:space="0"/>
              <w:right w:val="single" w:color="auto" w:sz="12" w:space="0"/>
            </w:tcBorders>
            <w:shd w:val="clear" w:color="auto" w:fill="auto"/>
            <w:vAlign w:val="bottom"/>
          </w:tcPr>
          <w:p>
            <w:pPr>
              <w:widowControl/>
              <w:jc w:val="right"/>
              <w:rPr>
                <w:color w:val="000000"/>
                <w:kern w:val="0"/>
                <w:szCs w:val="21"/>
              </w:rPr>
            </w:pPr>
            <w:r>
              <w:rPr>
                <w:color w:val="000000"/>
                <w:kern w:val="0"/>
                <w:szCs w:val="21"/>
              </w:rPr>
              <w:t>　</w:t>
            </w:r>
          </w:p>
        </w:tc>
        <w:tc>
          <w:tcPr>
            <w:tcW w:w="1985" w:type="dxa"/>
            <w:tcBorders>
              <w:top w:val="nil"/>
              <w:left w:val="nil"/>
              <w:bottom w:val="single" w:color="000000" w:sz="12" w:space="0"/>
              <w:right w:val="single" w:color="auto" w:sz="12" w:space="0"/>
            </w:tcBorders>
            <w:shd w:val="clear" w:color="auto" w:fill="auto"/>
            <w:vAlign w:val="bottom"/>
          </w:tcPr>
          <w:p>
            <w:pPr>
              <w:widowControl/>
              <w:jc w:val="right"/>
              <w:rPr>
                <w:color w:val="000000"/>
                <w:kern w:val="0"/>
                <w:szCs w:val="21"/>
              </w:rPr>
            </w:pPr>
            <w:r>
              <w:rPr>
                <w:color w:val="000000"/>
                <w:kern w:val="0"/>
                <w:szCs w:val="21"/>
              </w:rPr>
              <w:t>　</w:t>
            </w:r>
          </w:p>
        </w:tc>
        <w:tc>
          <w:tcPr>
            <w:tcW w:w="1843" w:type="dxa"/>
            <w:tcBorders>
              <w:top w:val="nil"/>
              <w:left w:val="nil"/>
              <w:bottom w:val="single" w:color="000000" w:sz="12" w:space="0"/>
              <w:right w:val="nil"/>
            </w:tcBorders>
            <w:shd w:val="clear" w:color="auto" w:fill="auto"/>
            <w:vAlign w:val="bottom"/>
          </w:tcPr>
          <w:p>
            <w:pPr>
              <w:widowControl/>
              <w:jc w:val="right"/>
              <w:rPr>
                <w:color w:val="000000"/>
                <w:kern w:val="0"/>
                <w:szCs w:val="21"/>
              </w:rPr>
            </w:pPr>
            <w:r>
              <w:rPr>
                <w:color w:val="000000"/>
                <w:kern w:val="0"/>
                <w:szCs w:val="21"/>
              </w:rPr>
              <w:t>　</w:t>
            </w:r>
          </w:p>
        </w:tc>
      </w:tr>
    </w:tbl>
    <w:p>
      <w:pPr>
        <w:spacing w:line="600" w:lineRule="exact"/>
        <w:ind w:firstLine="640" w:firstLineChars="200"/>
        <w:rPr>
          <w:rFonts w:eastAsia="仿宋_GB2312"/>
          <w:color w:val="000000"/>
          <w:kern w:val="0"/>
          <w:sz w:val="32"/>
          <w:szCs w:val="32"/>
        </w:rPr>
      </w:pPr>
    </w:p>
    <w:p>
      <w:pPr>
        <w:widowControl/>
        <w:spacing w:line="600" w:lineRule="exact"/>
        <w:ind w:firstLine="640" w:firstLineChars="200"/>
        <w:jc w:val="left"/>
        <w:rPr>
          <w:rFonts w:eastAsia="黑体"/>
          <w:kern w:val="0"/>
          <w:sz w:val="32"/>
          <w:szCs w:val="32"/>
        </w:rPr>
      </w:pPr>
      <w:r>
        <w:rPr>
          <w:rFonts w:eastAsia="黑体"/>
          <w:kern w:val="0"/>
          <w:sz w:val="32"/>
          <w:szCs w:val="32"/>
        </w:rPr>
        <w:t>七、租赁和商务服务业</w:t>
      </w:r>
    </w:p>
    <w:p>
      <w:pPr>
        <w:widowControl/>
        <w:spacing w:line="600" w:lineRule="exact"/>
        <w:ind w:firstLine="643" w:firstLineChars="200"/>
        <w:rPr>
          <w:rFonts w:eastAsia="楷体_GB2312"/>
          <w:b/>
          <w:kern w:val="0"/>
          <w:sz w:val="32"/>
          <w:szCs w:val="32"/>
        </w:rPr>
      </w:pPr>
      <w:r>
        <w:rPr>
          <w:rFonts w:eastAsia="楷体_GB2312"/>
          <w:b/>
          <w:kern w:val="0"/>
          <w:sz w:val="32"/>
          <w:szCs w:val="32"/>
        </w:rPr>
        <w:t>（一）企业法人单位数和从业人员</w:t>
      </w:r>
      <w:r>
        <w:rPr>
          <w:rFonts w:eastAsia="仿宋_GB2312"/>
          <w:b/>
          <w:kern w:val="0"/>
          <w:sz w:val="32"/>
          <w:szCs w:val="32"/>
        </w:rPr>
        <w:t>。</w:t>
      </w:r>
    </w:p>
    <w:p>
      <w:pPr>
        <w:widowControl/>
        <w:spacing w:line="600" w:lineRule="exact"/>
        <w:ind w:firstLine="640" w:firstLineChars="200"/>
        <w:rPr>
          <w:rFonts w:eastAsia="仿宋_GB2312"/>
          <w:color w:val="000000" w:themeColor="text1"/>
          <w:kern w:val="0"/>
          <w:sz w:val="32"/>
          <w:szCs w:val="32"/>
        </w:rPr>
      </w:pPr>
      <w:r>
        <w:rPr>
          <w:rFonts w:eastAsia="仿宋_GB2312"/>
          <w:kern w:val="0"/>
          <w:sz w:val="32"/>
          <w:szCs w:val="32"/>
        </w:rPr>
        <w:t>2018年末，全</w:t>
      </w:r>
      <w:r>
        <w:rPr>
          <w:rFonts w:hint="eastAsia" w:eastAsia="仿宋_GB2312"/>
          <w:kern w:val="0"/>
          <w:sz w:val="32"/>
          <w:szCs w:val="32"/>
        </w:rPr>
        <w:t>县</w:t>
      </w:r>
      <w:r>
        <w:rPr>
          <w:rFonts w:eastAsia="仿宋_GB2312"/>
          <w:kern w:val="0"/>
          <w:sz w:val="32"/>
          <w:szCs w:val="32"/>
        </w:rPr>
        <w:t>共有租赁和商务服务业企业法人单位</w:t>
      </w:r>
      <w:r>
        <w:rPr>
          <w:rFonts w:hint="eastAsia" w:eastAsia="仿宋_GB2312"/>
          <w:kern w:val="0"/>
          <w:sz w:val="32"/>
          <w:szCs w:val="32"/>
        </w:rPr>
        <w:t>164</w:t>
      </w:r>
      <w:r>
        <w:rPr>
          <w:rFonts w:eastAsia="仿宋_GB2312"/>
          <w:kern w:val="0"/>
          <w:sz w:val="32"/>
          <w:szCs w:val="32"/>
        </w:rPr>
        <w:t>个，从业人员</w:t>
      </w:r>
      <w:r>
        <w:rPr>
          <w:rFonts w:hint="eastAsia" w:eastAsia="仿宋_GB2312"/>
          <w:kern w:val="0"/>
          <w:sz w:val="32"/>
          <w:szCs w:val="32"/>
        </w:rPr>
        <w:t>1655</w:t>
      </w:r>
      <w:r>
        <w:rPr>
          <w:rFonts w:eastAsia="仿宋_GB2312"/>
          <w:kern w:val="0"/>
          <w:sz w:val="32"/>
          <w:szCs w:val="32"/>
        </w:rPr>
        <w:t>人</w:t>
      </w:r>
      <w:r>
        <w:rPr>
          <w:rFonts w:eastAsia="仿宋_GB2312"/>
          <w:color w:val="000000" w:themeColor="text1"/>
          <w:kern w:val="0"/>
          <w:sz w:val="32"/>
          <w:szCs w:val="32"/>
        </w:rPr>
        <w:t>，分别比2013年末增长</w:t>
      </w:r>
      <w:r>
        <w:rPr>
          <w:rFonts w:hint="eastAsia" w:eastAsia="仿宋_GB2312"/>
          <w:color w:val="000000" w:themeColor="text1"/>
          <w:kern w:val="0"/>
          <w:sz w:val="32"/>
          <w:szCs w:val="32"/>
        </w:rPr>
        <w:t>320.5</w:t>
      </w:r>
      <w:r>
        <w:rPr>
          <w:rFonts w:eastAsia="仿宋_GB2312"/>
          <w:color w:val="000000" w:themeColor="text1"/>
          <w:kern w:val="0"/>
          <w:sz w:val="32"/>
          <w:szCs w:val="32"/>
        </w:rPr>
        <w:t>%和</w:t>
      </w:r>
      <w:r>
        <w:rPr>
          <w:rFonts w:hint="eastAsia" w:eastAsia="仿宋_GB2312"/>
          <w:color w:val="000000" w:themeColor="text1"/>
          <w:kern w:val="0"/>
          <w:sz w:val="32"/>
          <w:szCs w:val="32"/>
        </w:rPr>
        <w:t>189.8</w:t>
      </w:r>
      <w:r>
        <w:rPr>
          <w:rFonts w:eastAsia="仿宋_GB2312"/>
          <w:color w:val="000000" w:themeColor="text1"/>
          <w:kern w:val="0"/>
          <w:sz w:val="32"/>
          <w:szCs w:val="32"/>
        </w:rPr>
        <w:t>%。</w:t>
      </w:r>
    </w:p>
    <w:p>
      <w:pPr>
        <w:widowControl/>
        <w:spacing w:line="600" w:lineRule="exact"/>
        <w:ind w:firstLine="640" w:firstLineChars="200"/>
        <w:rPr>
          <w:rFonts w:eastAsia="仿宋_GB2312"/>
          <w:kern w:val="0"/>
          <w:sz w:val="32"/>
          <w:szCs w:val="32"/>
        </w:rPr>
      </w:pPr>
      <w:r>
        <w:rPr>
          <w:rFonts w:eastAsia="仿宋_GB2312"/>
          <w:kern w:val="0"/>
          <w:sz w:val="32"/>
          <w:szCs w:val="32"/>
        </w:rPr>
        <w:t>在租赁和商务服务业企业法人单位中，租赁业占</w:t>
      </w:r>
      <w:r>
        <w:rPr>
          <w:rFonts w:hint="eastAsia" w:eastAsia="仿宋_GB2312"/>
          <w:kern w:val="0"/>
          <w:sz w:val="32"/>
          <w:szCs w:val="32"/>
        </w:rPr>
        <w:t>12.2</w:t>
      </w:r>
      <w:r>
        <w:rPr>
          <w:rFonts w:eastAsia="仿宋_GB2312"/>
          <w:kern w:val="0"/>
          <w:sz w:val="32"/>
          <w:szCs w:val="32"/>
        </w:rPr>
        <w:t>%，商务服务业占</w:t>
      </w:r>
      <w:r>
        <w:rPr>
          <w:rFonts w:hint="eastAsia" w:eastAsia="仿宋_GB2312"/>
          <w:kern w:val="0"/>
          <w:sz w:val="32"/>
          <w:szCs w:val="32"/>
        </w:rPr>
        <w:t>87.8</w:t>
      </w:r>
      <w:r>
        <w:rPr>
          <w:rFonts w:eastAsia="仿宋_GB2312"/>
          <w:kern w:val="0"/>
          <w:sz w:val="32"/>
          <w:szCs w:val="32"/>
        </w:rPr>
        <w:t>%。在租赁和商务服务业企业法人单位从业人员中，租赁业占</w:t>
      </w:r>
      <w:r>
        <w:rPr>
          <w:rFonts w:hint="eastAsia" w:eastAsia="仿宋_GB2312"/>
          <w:kern w:val="0"/>
          <w:sz w:val="32"/>
          <w:szCs w:val="32"/>
        </w:rPr>
        <w:t>5.5</w:t>
      </w:r>
      <w:r>
        <w:rPr>
          <w:rFonts w:eastAsia="仿宋_GB2312"/>
          <w:kern w:val="0"/>
          <w:sz w:val="32"/>
          <w:szCs w:val="32"/>
        </w:rPr>
        <w:t>%，商务服务业占</w:t>
      </w:r>
      <w:r>
        <w:rPr>
          <w:rFonts w:hint="eastAsia" w:eastAsia="仿宋_GB2312"/>
          <w:kern w:val="0"/>
          <w:sz w:val="32"/>
          <w:szCs w:val="32"/>
        </w:rPr>
        <w:t>94.5</w:t>
      </w:r>
      <w:r>
        <w:rPr>
          <w:rFonts w:eastAsia="仿宋_GB2312"/>
          <w:kern w:val="0"/>
          <w:sz w:val="32"/>
          <w:szCs w:val="32"/>
        </w:rPr>
        <w:t>%（详见表4-16）。</w:t>
      </w:r>
    </w:p>
    <w:tbl>
      <w:tblPr>
        <w:tblStyle w:val="4"/>
        <w:tblW w:w="8520" w:type="dxa"/>
        <w:tblInd w:w="93" w:type="dxa"/>
        <w:tblLayout w:type="autofit"/>
        <w:tblCellMar>
          <w:top w:w="0" w:type="dxa"/>
          <w:left w:w="108" w:type="dxa"/>
          <w:bottom w:w="0" w:type="dxa"/>
          <w:right w:w="108" w:type="dxa"/>
        </w:tblCellMar>
      </w:tblPr>
      <w:tblGrid>
        <w:gridCol w:w="3701"/>
        <w:gridCol w:w="2551"/>
        <w:gridCol w:w="2268"/>
      </w:tblGrid>
      <w:tr>
        <w:tblPrEx>
          <w:tblCellMar>
            <w:top w:w="0" w:type="dxa"/>
            <w:left w:w="108" w:type="dxa"/>
            <w:bottom w:w="0" w:type="dxa"/>
            <w:right w:w="108" w:type="dxa"/>
          </w:tblCellMar>
        </w:tblPrEx>
        <w:trPr>
          <w:trHeight w:val="900" w:hRule="atLeast"/>
        </w:trPr>
        <w:tc>
          <w:tcPr>
            <w:tcW w:w="8520" w:type="dxa"/>
            <w:gridSpan w:val="3"/>
            <w:tcBorders>
              <w:top w:val="nil"/>
              <w:left w:val="nil"/>
              <w:bottom w:val="single" w:color="auto" w:sz="12" w:space="0"/>
              <w:right w:val="nil"/>
            </w:tcBorders>
            <w:shd w:val="clear" w:color="000000" w:fill="FFFFFF"/>
            <w:vAlign w:val="center"/>
          </w:tcPr>
          <w:p>
            <w:pPr>
              <w:widowControl/>
              <w:jc w:val="center"/>
              <w:rPr>
                <w:b/>
                <w:bCs/>
                <w:color w:val="000000"/>
                <w:kern w:val="0"/>
                <w:sz w:val="24"/>
              </w:rPr>
            </w:pPr>
            <w:r>
              <w:rPr>
                <w:b/>
                <w:bCs/>
                <w:color w:val="000000"/>
                <w:kern w:val="0"/>
                <w:sz w:val="24"/>
              </w:rPr>
              <w:t>表4-16　按行业大类分组的租赁和商务服务业企业法人单位和从业人员</w:t>
            </w:r>
          </w:p>
        </w:tc>
      </w:tr>
      <w:tr>
        <w:tblPrEx>
          <w:tblCellMar>
            <w:top w:w="0" w:type="dxa"/>
            <w:left w:w="108" w:type="dxa"/>
            <w:bottom w:w="0" w:type="dxa"/>
            <w:right w:w="108" w:type="dxa"/>
          </w:tblCellMar>
        </w:tblPrEx>
        <w:trPr>
          <w:trHeight w:val="825" w:hRule="atLeast"/>
        </w:trPr>
        <w:tc>
          <w:tcPr>
            <w:tcW w:w="3701" w:type="dxa"/>
            <w:tcBorders>
              <w:top w:val="nil"/>
              <w:left w:val="nil"/>
              <w:bottom w:val="single" w:color="auto" w:sz="8" w:space="0"/>
              <w:right w:val="single" w:color="auto" w:sz="12" w:space="0"/>
            </w:tcBorders>
            <w:shd w:val="clear" w:color="auto" w:fill="auto"/>
            <w:vAlign w:val="center"/>
          </w:tcPr>
          <w:p>
            <w:pPr>
              <w:widowControl/>
              <w:jc w:val="center"/>
              <w:rPr>
                <w:color w:val="000000"/>
                <w:kern w:val="0"/>
                <w:szCs w:val="21"/>
              </w:rPr>
            </w:pPr>
            <w:r>
              <w:rPr>
                <w:color w:val="000000"/>
                <w:kern w:val="0"/>
                <w:szCs w:val="21"/>
              </w:rPr>
              <w:t>　</w:t>
            </w:r>
          </w:p>
        </w:tc>
        <w:tc>
          <w:tcPr>
            <w:tcW w:w="2551" w:type="dxa"/>
            <w:tcBorders>
              <w:top w:val="nil"/>
              <w:left w:val="nil"/>
              <w:bottom w:val="single" w:color="000000" w:sz="8" w:space="0"/>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企业法人单位（个）</w:t>
            </w:r>
          </w:p>
        </w:tc>
        <w:tc>
          <w:tcPr>
            <w:tcW w:w="2268" w:type="dxa"/>
            <w:tcBorders>
              <w:top w:val="nil"/>
              <w:left w:val="nil"/>
              <w:bottom w:val="single" w:color="000000" w:sz="8" w:space="0"/>
              <w:right w:val="nil"/>
            </w:tcBorders>
            <w:shd w:val="clear" w:color="auto" w:fill="auto"/>
            <w:vAlign w:val="center"/>
          </w:tcPr>
          <w:p>
            <w:pPr>
              <w:widowControl/>
              <w:jc w:val="center"/>
              <w:rPr>
                <w:b/>
                <w:bCs/>
                <w:color w:val="000000"/>
                <w:kern w:val="0"/>
                <w:szCs w:val="21"/>
              </w:rPr>
            </w:pPr>
            <w:r>
              <w:rPr>
                <w:b/>
                <w:bCs/>
                <w:color w:val="000000"/>
                <w:kern w:val="0"/>
                <w:szCs w:val="21"/>
              </w:rPr>
              <w:t>从业人员（人）</w:t>
            </w:r>
          </w:p>
        </w:tc>
      </w:tr>
      <w:tr>
        <w:tblPrEx>
          <w:tblCellMar>
            <w:top w:w="0" w:type="dxa"/>
            <w:left w:w="108" w:type="dxa"/>
            <w:bottom w:w="0" w:type="dxa"/>
            <w:right w:w="108" w:type="dxa"/>
          </w:tblCellMar>
        </w:tblPrEx>
        <w:trPr>
          <w:trHeight w:val="462" w:hRule="atLeast"/>
        </w:trPr>
        <w:tc>
          <w:tcPr>
            <w:tcW w:w="3701" w:type="dxa"/>
            <w:tcBorders>
              <w:top w:val="nil"/>
              <w:left w:val="nil"/>
              <w:bottom w:val="nil"/>
              <w:right w:val="single" w:color="auto" w:sz="12"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551" w:type="dxa"/>
            <w:tcBorders>
              <w:top w:val="nil"/>
              <w:left w:val="nil"/>
              <w:bottom w:val="nil"/>
              <w:right w:val="single" w:color="auto" w:sz="12" w:space="0"/>
            </w:tcBorders>
            <w:shd w:val="clear" w:color="auto" w:fill="auto"/>
            <w:vAlign w:val="center"/>
          </w:tcPr>
          <w:p>
            <w:pPr>
              <w:widowControl/>
              <w:jc w:val="center"/>
              <w:rPr>
                <w:color w:val="000000"/>
                <w:kern w:val="0"/>
                <w:sz w:val="22"/>
                <w:szCs w:val="22"/>
              </w:rPr>
            </w:pPr>
            <w:r>
              <w:rPr>
                <w:color w:val="000000"/>
                <w:kern w:val="0"/>
                <w:sz w:val="22"/>
                <w:szCs w:val="22"/>
              </w:rPr>
              <w:t>164</w:t>
            </w:r>
          </w:p>
        </w:tc>
        <w:tc>
          <w:tcPr>
            <w:tcW w:w="2268"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1655</w:t>
            </w:r>
          </w:p>
        </w:tc>
      </w:tr>
      <w:tr>
        <w:tblPrEx>
          <w:tblCellMar>
            <w:top w:w="0" w:type="dxa"/>
            <w:left w:w="108" w:type="dxa"/>
            <w:bottom w:w="0" w:type="dxa"/>
            <w:right w:w="108" w:type="dxa"/>
          </w:tblCellMar>
        </w:tblPrEx>
        <w:trPr>
          <w:trHeight w:val="720" w:hRule="atLeast"/>
        </w:trPr>
        <w:tc>
          <w:tcPr>
            <w:tcW w:w="3701" w:type="dxa"/>
            <w:tcBorders>
              <w:top w:val="nil"/>
              <w:left w:val="nil"/>
              <w:bottom w:val="nil"/>
              <w:right w:val="single" w:color="auto" w:sz="12" w:space="0"/>
            </w:tcBorders>
            <w:shd w:val="clear" w:color="auto" w:fill="auto"/>
            <w:vAlign w:val="center"/>
          </w:tcPr>
          <w:p>
            <w:pPr>
              <w:widowControl/>
              <w:rPr>
                <w:color w:val="000000"/>
                <w:kern w:val="0"/>
                <w:szCs w:val="21"/>
              </w:rPr>
            </w:pPr>
            <w:r>
              <w:rPr>
                <w:color w:val="000000"/>
                <w:kern w:val="0"/>
                <w:szCs w:val="21"/>
              </w:rPr>
              <w:t>　租赁业</w:t>
            </w:r>
          </w:p>
        </w:tc>
        <w:tc>
          <w:tcPr>
            <w:tcW w:w="2551" w:type="dxa"/>
            <w:tcBorders>
              <w:top w:val="nil"/>
              <w:left w:val="nil"/>
              <w:bottom w:val="nil"/>
              <w:right w:val="single" w:color="auto" w:sz="12"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2268"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91</w:t>
            </w:r>
          </w:p>
        </w:tc>
      </w:tr>
      <w:tr>
        <w:tblPrEx>
          <w:tblCellMar>
            <w:top w:w="0" w:type="dxa"/>
            <w:left w:w="108" w:type="dxa"/>
            <w:bottom w:w="0" w:type="dxa"/>
            <w:right w:w="108" w:type="dxa"/>
          </w:tblCellMar>
        </w:tblPrEx>
        <w:trPr>
          <w:trHeight w:val="540" w:hRule="atLeast"/>
        </w:trPr>
        <w:tc>
          <w:tcPr>
            <w:tcW w:w="3701" w:type="dxa"/>
            <w:tcBorders>
              <w:top w:val="nil"/>
              <w:left w:val="nil"/>
              <w:bottom w:val="single" w:color="auto" w:sz="12" w:space="0"/>
              <w:right w:val="single" w:color="auto" w:sz="12" w:space="0"/>
            </w:tcBorders>
            <w:shd w:val="clear" w:color="auto" w:fill="auto"/>
            <w:vAlign w:val="center"/>
          </w:tcPr>
          <w:p>
            <w:pPr>
              <w:widowControl/>
              <w:rPr>
                <w:color w:val="000000"/>
                <w:kern w:val="0"/>
                <w:szCs w:val="21"/>
              </w:rPr>
            </w:pPr>
            <w:r>
              <w:rPr>
                <w:color w:val="000000"/>
                <w:kern w:val="0"/>
                <w:szCs w:val="21"/>
              </w:rPr>
              <w:t>　商务服务业</w:t>
            </w:r>
          </w:p>
        </w:tc>
        <w:tc>
          <w:tcPr>
            <w:tcW w:w="2551" w:type="dxa"/>
            <w:tcBorders>
              <w:top w:val="nil"/>
              <w:left w:val="nil"/>
              <w:bottom w:val="single" w:color="auto" w:sz="12" w:space="0"/>
              <w:right w:val="single" w:color="auto" w:sz="12" w:space="0"/>
            </w:tcBorders>
            <w:shd w:val="clear" w:color="auto" w:fill="auto"/>
            <w:vAlign w:val="center"/>
          </w:tcPr>
          <w:p>
            <w:pPr>
              <w:widowControl/>
              <w:jc w:val="center"/>
              <w:rPr>
                <w:color w:val="000000"/>
                <w:kern w:val="0"/>
                <w:sz w:val="22"/>
                <w:szCs w:val="22"/>
              </w:rPr>
            </w:pPr>
            <w:r>
              <w:rPr>
                <w:color w:val="000000"/>
                <w:kern w:val="0"/>
                <w:sz w:val="22"/>
                <w:szCs w:val="22"/>
              </w:rPr>
              <w:t>144</w:t>
            </w:r>
          </w:p>
        </w:tc>
        <w:tc>
          <w:tcPr>
            <w:tcW w:w="2268" w:type="dxa"/>
            <w:tcBorders>
              <w:top w:val="nil"/>
              <w:left w:val="nil"/>
              <w:bottom w:val="single" w:color="auto" w:sz="12" w:space="0"/>
              <w:right w:val="nil"/>
            </w:tcBorders>
            <w:shd w:val="clear" w:color="auto" w:fill="auto"/>
            <w:vAlign w:val="center"/>
          </w:tcPr>
          <w:p>
            <w:pPr>
              <w:widowControl/>
              <w:jc w:val="center"/>
              <w:rPr>
                <w:color w:val="000000"/>
                <w:kern w:val="0"/>
                <w:sz w:val="22"/>
                <w:szCs w:val="22"/>
              </w:rPr>
            </w:pPr>
            <w:r>
              <w:rPr>
                <w:color w:val="000000"/>
                <w:kern w:val="0"/>
                <w:sz w:val="22"/>
                <w:szCs w:val="22"/>
              </w:rPr>
              <w:t>1564</w:t>
            </w:r>
          </w:p>
        </w:tc>
      </w:tr>
    </w:tbl>
    <w:p>
      <w:pPr>
        <w:widowControl/>
        <w:spacing w:line="600" w:lineRule="exact"/>
        <w:ind w:firstLine="640" w:firstLineChars="200"/>
        <w:rPr>
          <w:rFonts w:eastAsia="仿宋_GB2312"/>
          <w:kern w:val="0"/>
          <w:sz w:val="32"/>
          <w:szCs w:val="32"/>
        </w:rPr>
      </w:pPr>
    </w:p>
    <w:p>
      <w:pPr>
        <w:widowControl/>
        <w:spacing w:line="600" w:lineRule="exact"/>
        <w:ind w:firstLine="640" w:firstLineChars="200"/>
        <w:rPr>
          <w:rFonts w:eastAsia="仿宋_GB2312"/>
          <w:kern w:val="0"/>
          <w:sz w:val="32"/>
          <w:szCs w:val="32"/>
        </w:rPr>
      </w:pPr>
      <w:r>
        <w:rPr>
          <w:rFonts w:eastAsia="仿宋_GB2312"/>
          <w:kern w:val="0"/>
          <w:sz w:val="32"/>
          <w:szCs w:val="32"/>
        </w:rPr>
        <w:t>在租赁和商务服务业企业法人单位中，内资企业占99.</w:t>
      </w:r>
      <w:r>
        <w:rPr>
          <w:rFonts w:hint="eastAsia" w:eastAsia="仿宋_GB2312"/>
          <w:kern w:val="0"/>
          <w:sz w:val="32"/>
          <w:szCs w:val="32"/>
        </w:rPr>
        <w:t>39</w:t>
      </w:r>
      <w:r>
        <w:rPr>
          <w:rFonts w:eastAsia="仿宋_GB2312"/>
          <w:kern w:val="0"/>
          <w:sz w:val="32"/>
          <w:szCs w:val="32"/>
        </w:rPr>
        <w:t>%，港、澳、台商投资企业占0.</w:t>
      </w:r>
      <w:r>
        <w:rPr>
          <w:rFonts w:hint="eastAsia" w:eastAsia="仿宋_GB2312"/>
          <w:kern w:val="0"/>
          <w:sz w:val="32"/>
          <w:szCs w:val="32"/>
        </w:rPr>
        <w:t>61</w:t>
      </w:r>
      <w:r>
        <w:rPr>
          <w:rFonts w:eastAsia="仿宋_GB2312"/>
          <w:kern w:val="0"/>
          <w:sz w:val="32"/>
          <w:szCs w:val="32"/>
        </w:rPr>
        <w:t>%，外商投资企业占</w:t>
      </w:r>
      <w:r>
        <w:rPr>
          <w:rFonts w:hint="eastAsia" w:eastAsia="仿宋_GB2312"/>
          <w:kern w:val="0"/>
          <w:sz w:val="32"/>
          <w:szCs w:val="32"/>
        </w:rPr>
        <w:t>0</w:t>
      </w:r>
      <w:r>
        <w:rPr>
          <w:rFonts w:eastAsia="仿宋_GB2312"/>
          <w:kern w:val="0"/>
          <w:sz w:val="32"/>
          <w:szCs w:val="32"/>
        </w:rPr>
        <w:t xml:space="preserve">%。 </w:t>
      </w:r>
    </w:p>
    <w:p>
      <w:pPr>
        <w:widowControl/>
        <w:spacing w:line="600" w:lineRule="exact"/>
        <w:ind w:firstLine="640" w:firstLineChars="200"/>
        <w:rPr>
          <w:rFonts w:eastAsia="仿宋_GB2312"/>
          <w:kern w:val="0"/>
          <w:sz w:val="32"/>
          <w:szCs w:val="32"/>
        </w:rPr>
      </w:pPr>
      <w:r>
        <w:rPr>
          <w:rFonts w:eastAsia="仿宋_GB2312"/>
          <w:kern w:val="0"/>
          <w:sz w:val="32"/>
          <w:szCs w:val="32"/>
        </w:rPr>
        <w:t>在租赁和商务服务业企业法人单位从业人员中，内资企业占</w:t>
      </w:r>
      <w:r>
        <w:rPr>
          <w:rFonts w:hint="eastAsia" w:eastAsia="仿宋_GB2312"/>
          <w:kern w:val="0"/>
          <w:sz w:val="32"/>
          <w:szCs w:val="32"/>
        </w:rPr>
        <w:t>95.95</w:t>
      </w:r>
      <w:r>
        <w:rPr>
          <w:rFonts w:eastAsia="仿宋_GB2312"/>
          <w:kern w:val="0"/>
          <w:sz w:val="32"/>
          <w:szCs w:val="32"/>
        </w:rPr>
        <w:t>%，港、澳、台商投资企业占</w:t>
      </w:r>
      <w:r>
        <w:rPr>
          <w:rFonts w:hint="eastAsia" w:eastAsia="仿宋_GB2312"/>
          <w:kern w:val="0"/>
          <w:sz w:val="32"/>
          <w:szCs w:val="32"/>
        </w:rPr>
        <w:t>4.05</w:t>
      </w:r>
      <w:r>
        <w:rPr>
          <w:rFonts w:eastAsia="仿宋_GB2312"/>
          <w:kern w:val="0"/>
          <w:sz w:val="32"/>
          <w:szCs w:val="32"/>
        </w:rPr>
        <w:t>%，外商投资企业占</w:t>
      </w:r>
      <w:r>
        <w:rPr>
          <w:rFonts w:hint="eastAsia" w:eastAsia="仿宋_GB2312"/>
          <w:kern w:val="0"/>
          <w:sz w:val="32"/>
          <w:szCs w:val="32"/>
        </w:rPr>
        <w:t>0</w:t>
      </w:r>
      <w:r>
        <w:rPr>
          <w:rFonts w:eastAsia="仿宋_GB2312"/>
          <w:kern w:val="0"/>
          <w:sz w:val="32"/>
          <w:szCs w:val="32"/>
        </w:rPr>
        <w:t>%（详见表4-17）。</w:t>
      </w:r>
    </w:p>
    <w:tbl>
      <w:tblPr>
        <w:tblStyle w:val="4"/>
        <w:tblW w:w="8222" w:type="dxa"/>
        <w:tblInd w:w="250" w:type="dxa"/>
        <w:tblLayout w:type="autofit"/>
        <w:tblCellMar>
          <w:top w:w="0" w:type="dxa"/>
          <w:left w:w="108" w:type="dxa"/>
          <w:bottom w:w="0" w:type="dxa"/>
          <w:right w:w="108" w:type="dxa"/>
        </w:tblCellMar>
      </w:tblPr>
      <w:tblGrid>
        <w:gridCol w:w="3686"/>
        <w:gridCol w:w="2268"/>
        <w:gridCol w:w="2268"/>
      </w:tblGrid>
      <w:tr>
        <w:tblPrEx>
          <w:tblCellMar>
            <w:top w:w="0" w:type="dxa"/>
            <w:left w:w="108" w:type="dxa"/>
            <w:bottom w:w="0" w:type="dxa"/>
            <w:right w:w="108" w:type="dxa"/>
          </w:tblCellMar>
        </w:tblPrEx>
        <w:trPr>
          <w:trHeight w:val="900" w:hRule="atLeast"/>
        </w:trPr>
        <w:tc>
          <w:tcPr>
            <w:tcW w:w="8222" w:type="dxa"/>
            <w:gridSpan w:val="3"/>
            <w:tcBorders>
              <w:top w:val="nil"/>
              <w:left w:val="nil"/>
              <w:bottom w:val="single" w:color="auto" w:sz="12" w:space="0"/>
              <w:right w:val="nil"/>
            </w:tcBorders>
            <w:shd w:val="clear" w:color="000000" w:fill="FFFFFF"/>
            <w:vAlign w:val="center"/>
          </w:tcPr>
          <w:p>
            <w:pPr>
              <w:widowControl/>
              <w:jc w:val="center"/>
              <w:rPr>
                <w:b/>
                <w:bCs/>
                <w:color w:val="000000"/>
                <w:kern w:val="0"/>
                <w:sz w:val="24"/>
              </w:rPr>
            </w:pPr>
            <w:r>
              <w:rPr>
                <w:b/>
                <w:bCs/>
                <w:color w:val="000000"/>
                <w:kern w:val="0"/>
                <w:sz w:val="24"/>
              </w:rPr>
              <w:t>表4-17</w:t>
            </w:r>
            <w:r>
              <w:rPr>
                <w:rFonts w:hint="eastAsia" w:ascii="宋体" w:hAnsi="宋体"/>
                <w:b/>
                <w:bCs/>
                <w:color w:val="000000"/>
                <w:kern w:val="0"/>
                <w:sz w:val="24"/>
              </w:rPr>
              <w:t>　按登记注册类型分组的租赁和商务服务业企业法人单位和从业人员</w:t>
            </w:r>
          </w:p>
        </w:tc>
      </w:tr>
      <w:tr>
        <w:tblPrEx>
          <w:tblCellMar>
            <w:top w:w="0" w:type="dxa"/>
            <w:left w:w="108" w:type="dxa"/>
            <w:bottom w:w="0" w:type="dxa"/>
            <w:right w:w="108" w:type="dxa"/>
          </w:tblCellMar>
        </w:tblPrEx>
        <w:trPr>
          <w:trHeight w:val="585" w:hRule="atLeast"/>
        </w:trPr>
        <w:tc>
          <w:tcPr>
            <w:tcW w:w="3686"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2268" w:type="dxa"/>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企业法人单位(</w:t>
            </w:r>
            <w:r>
              <w:rPr>
                <w:rFonts w:hint="eastAsia" w:ascii="宋体" w:hAnsi="宋体"/>
                <w:b/>
                <w:bCs/>
                <w:color w:val="000000"/>
                <w:kern w:val="0"/>
                <w:szCs w:val="21"/>
              </w:rPr>
              <w:t>个</w:t>
            </w:r>
            <w:r>
              <w:rPr>
                <w:b/>
                <w:bCs/>
                <w:color w:val="000000"/>
                <w:kern w:val="0"/>
                <w:szCs w:val="21"/>
              </w:rPr>
              <w:t>)</w:t>
            </w:r>
          </w:p>
        </w:tc>
        <w:tc>
          <w:tcPr>
            <w:tcW w:w="2268" w:type="dxa"/>
            <w:tcBorders>
              <w:top w:val="nil"/>
              <w:left w:val="nil"/>
              <w:bottom w:val="single" w:color="auto" w:sz="8" w:space="0"/>
              <w:right w:val="nil"/>
            </w:tcBorders>
            <w:shd w:val="clear" w:color="auto" w:fill="auto"/>
            <w:vAlign w:val="center"/>
          </w:tcPr>
          <w:p>
            <w:pPr>
              <w:widowControl/>
              <w:jc w:val="center"/>
              <w:rPr>
                <w:b/>
                <w:bCs/>
                <w:color w:val="000000"/>
                <w:kern w:val="0"/>
                <w:szCs w:val="21"/>
              </w:rPr>
            </w:pPr>
            <w:r>
              <w:rPr>
                <w:b/>
                <w:bCs/>
                <w:color w:val="000000"/>
                <w:kern w:val="0"/>
                <w:szCs w:val="21"/>
              </w:rPr>
              <w:t>从业人员(</w:t>
            </w:r>
            <w:r>
              <w:rPr>
                <w:rFonts w:hint="eastAsia" w:ascii="宋体" w:hAnsi="宋体"/>
                <w:b/>
                <w:bCs/>
                <w:color w:val="000000"/>
                <w:kern w:val="0"/>
                <w:szCs w:val="21"/>
              </w:rPr>
              <w:t>人</w:t>
            </w:r>
            <w:r>
              <w:rPr>
                <w:b/>
                <w:bCs/>
                <w:color w:val="000000"/>
                <w:kern w:val="0"/>
                <w:szCs w:val="21"/>
              </w:rPr>
              <w:t>)</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268" w:type="dxa"/>
            <w:tcBorders>
              <w:top w:val="nil"/>
              <w:left w:val="nil"/>
              <w:bottom w:val="nil"/>
              <w:right w:val="single" w:color="auto" w:sz="8" w:space="0"/>
            </w:tcBorders>
            <w:shd w:val="clear" w:color="auto" w:fill="auto"/>
            <w:vAlign w:val="center"/>
          </w:tcPr>
          <w:p>
            <w:pPr>
              <w:widowControl/>
              <w:jc w:val="center"/>
              <w:rPr>
                <w:b/>
                <w:bCs/>
                <w:color w:val="000000"/>
                <w:kern w:val="0"/>
                <w:sz w:val="20"/>
                <w:szCs w:val="20"/>
              </w:rPr>
            </w:pPr>
            <w:r>
              <w:rPr>
                <w:b/>
                <w:bCs/>
                <w:color w:val="000000"/>
                <w:kern w:val="0"/>
                <w:sz w:val="20"/>
                <w:szCs w:val="20"/>
              </w:rPr>
              <w:t>164</w:t>
            </w:r>
          </w:p>
        </w:tc>
        <w:tc>
          <w:tcPr>
            <w:tcW w:w="2268" w:type="dxa"/>
            <w:tcBorders>
              <w:top w:val="nil"/>
              <w:left w:val="nil"/>
              <w:bottom w:val="nil"/>
              <w:right w:val="nil"/>
            </w:tcBorders>
            <w:shd w:val="clear" w:color="auto" w:fill="auto"/>
            <w:vAlign w:val="center"/>
          </w:tcPr>
          <w:p>
            <w:pPr>
              <w:widowControl/>
              <w:jc w:val="center"/>
              <w:rPr>
                <w:b/>
                <w:bCs/>
                <w:color w:val="000000"/>
                <w:kern w:val="0"/>
                <w:sz w:val="20"/>
                <w:szCs w:val="20"/>
              </w:rPr>
            </w:pPr>
            <w:r>
              <w:rPr>
                <w:b/>
                <w:bCs/>
                <w:color w:val="000000"/>
                <w:kern w:val="0"/>
                <w:sz w:val="20"/>
                <w:szCs w:val="20"/>
              </w:rPr>
              <w:t>1655</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b/>
                <w:bCs/>
                <w:color w:val="000000"/>
                <w:kern w:val="0"/>
                <w:szCs w:val="21"/>
              </w:rPr>
            </w:pPr>
            <w:r>
              <w:rPr>
                <w:b/>
                <w:bCs/>
                <w:color w:val="000000"/>
                <w:kern w:val="0"/>
                <w:szCs w:val="21"/>
              </w:rPr>
              <w:t>内资企业</w:t>
            </w:r>
          </w:p>
        </w:tc>
        <w:tc>
          <w:tcPr>
            <w:tcW w:w="2268"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163</w:t>
            </w:r>
          </w:p>
        </w:tc>
        <w:tc>
          <w:tcPr>
            <w:tcW w:w="2268"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1588</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w:t>
            </w:r>
            <w:r>
              <w:rPr>
                <w:rFonts w:hint="eastAsia"/>
                <w:color w:val="000000"/>
                <w:kern w:val="0"/>
                <w:szCs w:val="21"/>
              </w:rPr>
              <w:t xml:space="preserve"> </w:t>
            </w:r>
            <w:r>
              <w:rPr>
                <w:color w:val="000000"/>
                <w:kern w:val="0"/>
                <w:szCs w:val="21"/>
              </w:rPr>
              <w:t>　国有企业</w:t>
            </w:r>
          </w:p>
        </w:tc>
        <w:tc>
          <w:tcPr>
            <w:tcW w:w="2268"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6</w:t>
            </w:r>
          </w:p>
        </w:tc>
        <w:tc>
          <w:tcPr>
            <w:tcW w:w="2268"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236</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集体企业</w:t>
            </w:r>
          </w:p>
        </w:tc>
        <w:tc>
          <w:tcPr>
            <w:tcW w:w="2268"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　</w:t>
            </w:r>
          </w:p>
        </w:tc>
        <w:tc>
          <w:tcPr>
            <w:tcW w:w="2268" w:type="dxa"/>
            <w:tcBorders>
              <w:top w:val="nil"/>
              <w:left w:val="nil"/>
              <w:bottom w:val="nil"/>
              <w:right w:val="nil"/>
            </w:tcBorders>
            <w:shd w:val="clear" w:color="auto" w:fill="auto"/>
            <w:vAlign w:val="center"/>
          </w:tcPr>
          <w:p>
            <w:pPr>
              <w:widowControl/>
              <w:jc w:val="center"/>
              <w:rPr>
                <w:color w:val="000000"/>
                <w:kern w:val="0"/>
                <w:szCs w:val="21"/>
              </w:rPr>
            </w:pP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有限责任公司</w:t>
            </w:r>
          </w:p>
        </w:tc>
        <w:tc>
          <w:tcPr>
            <w:tcW w:w="2268"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23</w:t>
            </w:r>
          </w:p>
        </w:tc>
        <w:tc>
          <w:tcPr>
            <w:tcW w:w="2268"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173</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股份有限公司</w:t>
            </w:r>
          </w:p>
        </w:tc>
        <w:tc>
          <w:tcPr>
            <w:tcW w:w="2268"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4</w:t>
            </w:r>
          </w:p>
        </w:tc>
        <w:tc>
          <w:tcPr>
            <w:tcW w:w="2268"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394</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私营企业</w:t>
            </w:r>
          </w:p>
        </w:tc>
        <w:tc>
          <w:tcPr>
            <w:tcW w:w="2268"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127</w:t>
            </w:r>
          </w:p>
        </w:tc>
        <w:tc>
          <w:tcPr>
            <w:tcW w:w="2268"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766</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其他企业</w:t>
            </w:r>
          </w:p>
        </w:tc>
        <w:tc>
          <w:tcPr>
            <w:tcW w:w="2268" w:type="dxa"/>
            <w:tcBorders>
              <w:top w:val="nil"/>
              <w:left w:val="nil"/>
              <w:bottom w:val="nil"/>
              <w:right w:val="single" w:color="auto" w:sz="8" w:space="0"/>
            </w:tcBorders>
            <w:shd w:val="clear" w:color="auto" w:fill="auto"/>
            <w:vAlign w:val="center"/>
          </w:tcPr>
          <w:p>
            <w:pPr>
              <w:widowControl/>
              <w:jc w:val="center"/>
              <w:rPr>
                <w:color w:val="000000"/>
                <w:kern w:val="0"/>
                <w:szCs w:val="21"/>
              </w:rPr>
            </w:pPr>
            <w:r>
              <w:rPr>
                <w:color w:val="000000"/>
                <w:kern w:val="0"/>
                <w:szCs w:val="21"/>
              </w:rPr>
              <w:t>3</w:t>
            </w:r>
          </w:p>
        </w:tc>
        <w:tc>
          <w:tcPr>
            <w:tcW w:w="2268" w:type="dxa"/>
            <w:tcBorders>
              <w:top w:val="nil"/>
              <w:left w:val="nil"/>
              <w:bottom w:val="nil"/>
              <w:right w:val="nil"/>
            </w:tcBorders>
            <w:shd w:val="clear" w:color="auto" w:fill="auto"/>
            <w:vAlign w:val="center"/>
          </w:tcPr>
          <w:p>
            <w:pPr>
              <w:widowControl/>
              <w:jc w:val="center"/>
              <w:rPr>
                <w:color w:val="000000"/>
                <w:kern w:val="0"/>
                <w:szCs w:val="21"/>
              </w:rPr>
            </w:pPr>
            <w:r>
              <w:rPr>
                <w:color w:val="000000"/>
                <w:kern w:val="0"/>
                <w:szCs w:val="21"/>
              </w:rPr>
              <w:t>19</w:t>
            </w:r>
          </w:p>
        </w:tc>
      </w:tr>
      <w:tr>
        <w:tblPrEx>
          <w:tblCellMar>
            <w:top w:w="0" w:type="dxa"/>
            <w:left w:w="108" w:type="dxa"/>
            <w:bottom w:w="0" w:type="dxa"/>
            <w:right w:w="108" w:type="dxa"/>
          </w:tblCellMar>
        </w:tblPrEx>
        <w:trPr>
          <w:trHeight w:val="480" w:hRule="atLeast"/>
        </w:trPr>
        <w:tc>
          <w:tcPr>
            <w:tcW w:w="3686" w:type="dxa"/>
            <w:tcBorders>
              <w:top w:val="nil"/>
              <w:left w:val="nil"/>
              <w:bottom w:val="nil"/>
              <w:right w:val="single" w:color="auto" w:sz="8" w:space="0"/>
            </w:tcBorders>
            <w:shd w:val="clear" w:color="auto" w:fill="auto"/>
            <w:vAlign w:val="center"/>
          </w:tcPr>
          <w:p>
            <w:pPr>
              <w:widowControl/>
              <w:rPr>
                <w:b/>
                <w:bCs/>
                <w:color w:val="000000"/>
                <w:kern w:val="0"/>
                <w:szCs w:val="21"/>
              </w:rPr>
            </w:pPr>
            <w:r>
              <w:rPr>
                <w:b/>
                <w:bCs/>
                <w:color w:val="000000"/>
                <w:kern w:val="0"/>
                <w:szCs w:val="21"/>
              </w:rPr>
              <w:t>港、澳、台商投资企业</w:t>
            </w:r>
          </w:p>
        </w:tc>
        <w:tc>
          <w:tcPr>
            <w:tcW w:w="2268"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1</w:t>
            </w:r>
          </w:p>
        </w:tc>
        <w:tc>
          <w:tcPr>
            <w:tcW w:w="2268"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67</w:t>
            </w:r>
          </w:p>
        </w:tc>
      </w:tr>
      <w:tr>
        <w:tblPrEx>
          <w:tblCellMar>
            <w:top w:w="0" w:type="dxa"/>
            <w:left w:w="108" w:type="dxa"/>
            <w:bottom w:w="0" w:type="dxa"/>
            <w:right w:w="108" w:type="dxa"/>
          </w:tblCellMar>
        </w:tblPrEx>
        <w:trPr>
          <w:trHeight w:val="480" w:hRule="atLeast"/>
        </w:trPr>
        <w:tc>
          <w:tcPr>
            <w:tcW w:w="3686" w:type="dxa"/>
            <w:tcBorders>
              <w:top w:val="nil"/>
              <w:left w:val="nil"/>
              <w:bottom w:val="single" w:color="auto" w:sz="12" w:space="0"/>
              <w:right w:val="single" w:color="auto" w:sz="8" w:space="0"/>
            </w:tcBorders>
            <w:shd w:val="clear" w:color="auto" w:fill="auto"/>
            <w:vAlign w:val="center"/>
          </w:tcPr>
          <w:p>
            <w:pPr>
              <w:widowControl/>
              <w:rPr>
                <w:b/>
                <w:bCs/>
                <w:color w:val="000000"/>
                <w:kern w:val="0"/>
                <w:szCs w:val="21"/>
              </w:rPr>
            </w:pPr>
            <w:r>
              <w:rPr>
                <w:b/>
                <w:bCs/>
                <w:color w:val="000000"/>
                <w:kern w:val="0"/>
                <w:szCs w:val="21"/>
              </w:rPr>
              <w:t>外商投资企业</w:t>
            </w:r>
          </w:p>
        </w:tc>
        <w:tc>
          <w:tcPr>
            <w:tcW w:w="2268" w:type="dxa"/>
            <w:tcBorders>
              <w:top w:val="nil"/>
              <w:left w:val="nil"/>
              <w:bottom w:val="single" w:color="000000" w:sz="12"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0</w:t>
            </w:r>
          </w:p>
        </w:tc>
        <w:tc>
          <w:tcPr>
            <w:tcW w:w="2268" w:type="dxa"/>
            <w:tcBorders>
              <w:top w:val="nil"/>
              <w:left w:val="nil"/>
              <w:bottom w:val="single" w:color="000000" w:sz="12" w:space="0"/>
              <w:right w:val="nil"/>
            </w:tcBorders>
            <w:shd w:val="clear" w:color="auto" w:fill="auto"/>
            <w:vAlign w:val="center"/>
          </w:tcPr>
          <w:p>
            <w:pPr>
              <w:widowControl/>
              <w:jc w:val="center"/>
              <w:rPr>
                <w:b/>
                <w:bCs/>
                <w:color w:val="000000"/>
                <w:kern w:val="0"/>
                <w:szCs w:val="21"/>
              </w:rPr>
            </w:pPr>
            <w:r>
              <w:rPr>
                <w:b/>
                <w:bCs/>
                <w:color w:val="000000"/>
                <w:kern w:val="0"/>
                <w:szCs w:val="21"/>
              </w:rPr>
              <w:t>0</w:t>
            </w:r>
          </w:p>
        </w:tc>
      </w:tr>
    </w:tbl>
    <w:p>
      <w:pPr>
        <w:widowControl/>
        <w:spacing w:line="600" w:lineRule="exact"/>
        <w:ind w:firstLine="640" w:firstLineChars="200"/>
        <w:rPr>
          <w:rFonts w:eastAsia="仿宋_GB2312"/>
          <w:kern w:val="0"/>
          <w:sz w:val="32"/>
          <w:szCs w:val="32"/>
        </w:rPr>
      </w:pPr>
    </w:p>
    <w:p>
      <w:pPr>
        <w:widowControl/>
        <w:spacing w:line="600" w:lineRule="exact"/>
        <w:ind w:firstLine="643" w:firstLineChars="200"/>
        <w:rPr>
          <w:rFonts w:eastAsia="楷体_GB2312"/>
          <w:b/>
          <w:kern w:val="0"/>
          <w:sz w:val="32"/>
          <w:szCs w:val="32"/>
        </w:rPr>
      </w:pPr>
      <w:r>
        <w:rPr>
          <w:rFonts w:eastAsia="楷体_GB2312"/>
          <w:b/>
          <w:kern w:val="0"/>
          <w:sz w:val="32"/>
          <w:szCs w:val="32"/>
        </w:rPr>
        <w:t>（二）主要经济指标</w:t>
      </w:r>
      <w:r>
        <w:rPr>
          <w:rFonts w:eastAsia="仿宋_GB2312"/>
          <w:b/>
          <w:kern w:val="0"/>
          <w:sz w:val="32"/>
          <w:szCs w:val="32"/>
        </w:rPr>
        <w:t>。</w:t>
      </w:r>
    </w:p>
    <w:p>
      <w:pPr>
        <w:widowControl/>
        <w:spacing w:line="600" w:lineRule="exact"/>
        <w:ind w:firstLine="640" w:firstLineChars="200"/>
        <w:rPr>
          <w:rFonts w:eastAsia="仿宋_GB2312"/>
          <w:kern w:val="0"/>
          <w:sz w:val="32"/>
          <w:szCs w:val="32"/>
        </w:rPr>
      </w:pPr>
      <w:r>
        <w:rPr>
          <w:rFonts w:eastAsia="仿宋_GB2312"/>
          <w:kern w:val="0"/>
          <w:sz w:val="32"/>
          <w:szCs w:val="32"/>
        </w:rPr>
        <w:t>2018年末，租赁和商务服务业企业法人单位资产总计</w:t>
      </w:r>
      <w:r>
        <w:rPr>
          <w:rFonts w:hint="eastAsia" w:eastAsia="仿宋_GB2312"/>
          <w:kern w:val="0"/>
          <w:sz w:val="32"/>
          <w:szCs w:val="32"/>
        </w:rPr>
        <w:t>2388936.4</w:t>
      </w:r>
      <w:r>
        <w:rPr>
          <w:rFonts w:eastAsia="仿宋_GB2312"/>
          <w:kern w:val="0"/>
          <w:sz w:val="32"/>
          <w:szCs w:val="32"/>
        </w:rPr>
        <w:t>万元，</w:t>
      </w:r>
      <w:r>
        <w:rPr>
          <w:rFonts w:eastAsia="仿宋_GB2312"/>
          <w:color w:val="000000" w:themeColor="text1"/>
          <w:kern w:val="0"/>
          <w:sz w:val="32"/>
          <w:szCs w:val="32"/>
        </w:rPr>
        <w:t>比2013年末增长</w:t>
      </w:r>
      <w:r>
        <w:rPr>
          <w:rFonts w:hint="eastAsia" w:eastAsia="仿宋_GB2312"/>
          <w:color w:val="000000" w:themeColor="text1"/>
          <w:kern w:val="0"/>
          <w:sz w:val="32"/>
          <w:szCs w:val="32"/>
        </w:rPr>
        <w:t>4716.6</w:t>
      </w:r>
      <w:r>
        <w:rPr>
          <w:rFonts w:eastAsia="仿宋_GB2312"/>
          <w:color w:val="000000" w:themeColor="text1"/>
          <w:kern w:val="0"/>
          <w:sz w:val="32"/>
          <w:szCs w:val="32"/>
        </w:rPr>
        <w:t>%</w:t>
      </w:r>
      <w:r>
        <w:rPr>
          <w:rFonts w:eastAsia="仿宋_GB2312"/>
          <w:color w:val="FF0000"/>
          <w:kern w:val="0"/>
          <w:sz w:val="32"/>
          <w:szCs w:val="32"/>
        </w:rPr>
        <w:t>。</w:t>
      </w:r>
      <w:r>
        <w:rPr>
          <w:rFonts w:eastAsia="仿宋_GB2312"/>
          <w:kern w:val="0"/>
          <w:sz w:val="32"/>
          <w:szCs w:val="32"/>
        </w:rPr>
        <w:t>其中，租赁业企业法人单位资产总计</w:t>
      </w:r>
      <w:r>
        <w:rPr>
          <w:rFonts w:hint="eastAsia" w:eastAsia="仿宋_GB2312"/>
          <w:kern w:val="0"/>
          <w:sz w:val="32"/>
          <w:szCs w:val="32"/>
        </w:rPr>
        <w:t>2590.9</w:t>
      </w:r>
      <w:r>
        <w:rPr>
          <w:rFonts w:eastAsia="仿宋_GB2312"/>
          <w:kern w:val="0"/>
          <w:sz w:val="32"/>
          <w:szCs w:val="32"/>
        </w:rPr>
        <w:t>万元，商务服务业企业法人单位资产总计</w:t>
      </w:r>
      <w:r>
        <w:rPr>
          <w:rFonts w:hint="eastAsia" w:eastAsia="仿宋_GB2312"/>
          <w:kern w:val="0"/>
          <w:sz w:val="32"/>
          <w:szCs w:val="32"/>
        </w:rPr>
        <w:t>2386345.5</w:t>
      </w:r>
      <w:r>
        <w:rPr>
          <w:rFonts w:eastAsia="仿宋_GB2312"/>
          <w:kern w:val="0"/>
          <w:sz w:val="32"/>
          <w:szCs w:val="32"/>
        </w:rPr>
        <w:t>万元。负债合计</w:t>
      </w:r>
      <w:r>
        <w:rPr>
          <w:rFonts w:hint="eastAsia" w:eastAsia="仿宋_GB2312"/>
          <w:kern w:val="0"/>
          <w:sz w:val="32"/>
          <w:szCs w:val="32"/>
        </w:rPr>
        <w:t>1151635.3</w:t>
      </w:r>
      <w:r>
        <w:rPr>
          <w:rFonts w:eastAsia="仿宋_GB2312"/>
          <w:kern w:val="0"/>
          <w:sz w:val="32"/>
          <w:szCs w:val="32"/>
        </w:rPr>
        <w:t>万元。全年实现营业收入</w:t>
      </w:r>
      <w:r>
        <w:rPr>
          <w:rFonts w:hint="eastAsia" w:eastAsia="仿宋_GB2312"/>
          <w:kern w:val="0"/>
          <w:sz w:val="32"/>
          <w:szCs w:val="32"/>
        </w:rPr>
        <w:t>39281.9</w:t>
      </w:r>
      <w:r>
        <w:rPr>
          <w:rFonts w:eastAsia="仿宋_GB2312"/>
          <w:kern w:val="0"/>
          <w:sz w:val="32"/>
          <w:szCs w:val="32"/>
        </w:rPr>
        <w:t>万元（详见表4-18）。</w:t>
      </w:r>
    </w:p>
    <w:p>
      <w:pPr>
        <w:widowControl/>
        <w:spacing w:line="600" w:lineRule="exact"/>
        <w:ind w:firstLine="640" w:firstLineChars="200"/>
        <w:rPr>
          <w:rFonts w:eastAsia="仿宋_GB2312"/>
          <w:kern w:val="0"/>
          <w:sz w:val="32"/>
          <w:szCs w:val="32"/>
        </w:rPr>
      </w:pPr>
    </w:p>
    <w:tbl>
      <w:tblPr>
        <w:tblStyle w:val="4"/>
        <w:tblW w:w="8420" w:type="dxa"/>
        <w:tblInd w:w="93" w:type="dxa"/>
        <w:tblLayout w:type="autofit"/>
        <w:tblCellMar>
          <w:top w:w="0" w:type="dxa"/>
          <w:left w:w="108" w:type="dxa"/>
          <w:bottom w:w="0" w:type="dxa"/>
          <w:right w:w="108" w:type="dxa"/>
        </w:tblCellMar>
      </w:tblPr>
      <w:tblGrid>
        <w:gridCol w:w="2283"/>
        <w:gridCol w:w="2127"/>
        <w:gridCol w:w="2126"/>
        <w:gridCol w:w="1884"/>
      </w:tblGrid>
      <w:tr>
        <w:tblPrEx>
          <w:tblCellMar>
            <w:top w:w="0" w:type="dxa"/>
            <w:left w:w="108" w:type="dxa"/>
            <w:bottom w:w="0" w:type="dxa"/>
            <w:right w:w="108" w:type="dxa"/>
          </w:tblCellMar>
        </w:tblPrEx>
        <w:trPr>
          <w:trHeight w:val="615" w:hRule="atLeast"/>
        </w:trPr>
        <w:tc>
          <w:tcPr>
            <w:tcW w:w="8420" w:type="dxa"/>
            <w:gridSpan w:val="4"/>
            <w:tcBorders>
              <w:top w:val="nil"/>
              <w:left w:val="nil"/>
              <w:bottom w:val="single" w:color="auto" w:sz="12" w:space="0"/>
              <w:right w:val="nil"/>
            </w:tcBorders>
            <w:shd w:val="clear" w:color="000000" w:fill="FFFFFF"/>
            <w:vAlign w:val="center"/>
          </w:tcPr>
          <w:p>
            <w:pPr>
              <w:widowControl/>
              <w:jc w:val="center"/>
              <w:rPr>
                <w:rFonts w:ascii="宋体" w:hAnsi="宋体" w:cs="宋体"/>
                <w:b/>
                <w:bCs/>
                <w:color w:val="000000"/>
                <w:kern w:val="0"/>
                <w:sz w:val="24"/>
              </w:rPr>
            </w:pPr>
            <w:r>
              <w:rPr>
                <w:rFonts w:hint="eastAsia" w:ascii="宋体" w:hAnsi="宋体" w:cs="宋体"/>
                <w:b/>
                <w:bCs/>
                <w:color w:val="000000"/>
                <w:kern w:val="0"/>
                <w:sz w:val="24"/>
              </w:rPr>
              <w:t>表4-18　按行业大类分组的租赁和商务服务业企业法人单位主要经济指标</w:t>
            </w:r>
          </w:p>
        </w:tc>
      </w:tr>
      <w:tr>
        <w:tblPrEx>
          <w:tblCellMar>
            <w:top w:w="0" w:type="dxa"/>
            <w:left w:w="108" w:type="dxa"/>
            <w:bottom w:w="0" w:type="dxa"/>
            <w:right w:w="108" w:type="dxa"/>
          </w:tblCellMar>
        </w:tblPrEx>
        <w:trPr>
          <w:trHeight w:val="555" w:hRule="atLeast"/>
        </w:trPr>
        <w:tc>
          <w:tcPr>
            <w:tcW w:w="2283" w:type="dxa"/>
            <w:vMerge w:val="restart"/>
            <w:tcBorders>
              <w:top w:val="nil"/>
              <w:left w:val="nil"/>
              <w:bottom w:val="single" w:color="auto"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　</w:t>
            </w:r>
          </w:p>
        </w:tc>
        <w:tc>
          <w:tcPr>
            <w:tcW w:w="2127"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资产总计</w:t>
            </w:r>
          </w:p>
        </w:tc>
        <w:tc>
          <w:tcPr>
            <w:tcW w:w="2126"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负债合计</w:t>
            </w:r>
          </w:p>
        </w:tc>
        <w:tc>
          <w:tcPr>
            <w:tcW w:w="1884" w:type="dxa"/>
            <w:tcBorders>
              <w:top w:val="nil"/>
              <w:left w:val="nil"/>
              <w:bottom w:val="nil"/>
              <w:right w:val="nil"/>
            </w:tcBorders>
            <w:shd w:val="clear" w:color="auto" w:fill="auto"/>
            <w:vAlign w:val="center"/>
          </w:tcPr>
          <w:p>
            <w:pPr>
              <w:widowControl/>
              <w:jc w:val="center"/>
              <w:rPr>
                <w:b/>
                <w:bCs/>
                <w:color w:val="000000"/>
                <w:kern w:val="0"/>
                <w:szCs w:val="21"/>
              </w:rPr>
            </w:pPr>
            <w:r>
              <w:rPr>
                <w:b/>
                <w:bCs/>
                <w:color w:val="000000"/>
                <w:kern w:val="0"/>
                <w:szCs w:val="21"/>
              </w:rPr>
              <w:t>营业收入</w:t>
            </w:r>
          </w:p>
        </w:tc>
      </w:tr>
      <w:tr>
        <w:tblPrEx>
          <w:tblCellMar>
            <w:top w:w="0" w:type="dxa"/>
            <w:left w:w="108" w:type="dxa"/>
            <w:bottom w:w="0" w:type="dxa"/>
            <w:right w:w="108" w:type="dxa"/>
          </w:tblCellMar>
        </w:tblPrEx>
        <w:trPr>
          <w:trHeight w:val="390" w:hRule="atLeast"/>
        </w:trPr>
        <w:tc>
          <w:tcPr>
            <w:tcW w:w="2283" w:type="dxa"/>
            <w:vMerge w:val="continue"/>
            <w:tcBorders>
              <w:top w:val="nil"/>
              <w:left w:val="nil"/>
              <w:bottom w:val="single" w:color="auto" w:sz="8" w:space="0"/>
              <w:right w:val="single" w:color="auto" w:sz="8" w:space="0"/>
            </w:tcBorders>
            <w:vAlign w:val="center"/>
          </w:tcPr>
          <w:p>
            <w:pPr>
              <w:widowControl/>
              <w:jc w:val="left"/>
              <w:rPr>
                <w:b/>
                <w:bCs/>
                <w:color w:val="000000"/>
                <w:kern w:val="0"/>
                <w:szCs w:val="21"/>
              </w:rPr>
            </w:pPr>
          </w:p>
        </w:tc>
        <w:tc>
          <w:tcPr>
            <w:tcW w:w="2127" w:type="dxa"/>
            <w:tcBorders>
              <w:top w:val="nil"/>
              <w:left w:val="nil"/>
              <w:bottom w:val="single" w:color="000000"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2126" w:type="dxa"/>
            <w:tcBorders>
              <w:top w:val="nil"/>
              <w:left w:val="nil"/>
              <w:bottom w:val="single" w:color="000000" w:sz="8" w:space="0"/>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（万元）</w:t>
            </w:r>
          </w:p>
        </w:tc>
        <w:tc>
          <w:tcPr>
            <w:tcW w:w="1884" w:type="dxa"/>
            <w:tcBorders>
              <w:top w:val="nil"/>
              <w:left w:val="nil"/>
              <w:bottom w:val="single" w:color="000000" w:sz="8" w:space="0"/>
              <w:right w:val="nil"/>
            </w:tcBorders>
            <w:shd w:val="clear" w:color="auto" w:fill="auto"/>
            <w:vAlign w:val="center"/>
          </w:tcPr>
          <w:p>
            <w:pPr>
              <w:widowControl/>
              <w:jc w:val="center"/>
              <w:rPr>
                <w:b/>
                <w:bCs/>
                <w:color w:val="000000"/>
                <w:kern w:val="0"/>
                <w:szCs w:val="21"/>
              </w:rPr>
            </w:pPr>
            <w:r>
              <w:rPr>
                <w:b/>
                <w:bCs/>
                <w:color w:val="000000"/>
                <w:kern w:val="0"/>
                <w:szCs w:val="21"/>
              </w:rPr>
              <w:t>（万元）</w:t>
            </w:r>
          </w:p>
        </w:tc>
      </w:tr>
      <w:tr>
        <w:tblPrEx>
          <w:tblCellMar>
            <w:top w:w="0" w:type="dxa"/>
            <w:left w:w="108" w:type="dxa"/>
            <w:bottom w:w="0" w:type="dxa"/>
            <w:right w:w="108" w:type="dxa"/>
          </w:tblCellMar>
        </w:tblPrEx>
        <w:trPr>
          <w:trHeight w:val="439" w:hRule="atLeast"/>
        </w:trPr>
        <w:tc>
          <w:tcPr>
            <w:tcW w:w="2283" w:type="dxa"/>
            <w:tcBorders>
              <w:top w:val="nil"/>
              <w:left w:val="nil"/>
              <w:bottom w:val="nil"/>
              <w:right w:val="single" w:color="auto" w:sz="8" w:space="0"/>
            </w:tcBorders>
            <w:shd w:val="clear" w:color="auto" w:fill="auto"/>
            <w:vAlign w:val="center"/>
          </w:tcPr>
          <w:p>
            <w:pPr>
              <w:widowControl/>
              <w:jc w:val="center"/>
              <w:rPr>
                <w:b/>
                <w:bCs/>
                <w:color w:val="000000"/>
                <w:kern w:val="0"/>
                <w:szCs w:val="21"/>
              </w:rPr>
            </w:pPr>
            <w:r>
              <w:rPr>
                <w:b/>
                <w:bCs/>
                <w:color w:val="000000"/>
                <w:kern w:val="0"/>
                <w:szCs w:val="21"/>
              </w:rPr>
              <w:t>合　计</w:t>
            </w:r>
          </w:p>
        </w:tc>
        <w:tc>
          <w:tcPr>
            <w:tcW w:w="2127" w:type="dxa"/>
            <w:tcBorders>
              <w:top w:val="nil"/>
              <w:left w:val="nil"/>
              <w:bottom w:val="nil"/>
              <w:right w:val="single" w:color="auto" w:sz="8" w:space="0"/>
            </w:tcBorders>
            <w:shd w:val="clear" w:color="auto" w:fill="auto"/>
            <w:vAlign w:val="center"/>
          </w:tcPr>
          <w:p>
            <w:pPr>
              <w:widowControl/>
              <w:jc w:val="center"/>
              <w:rPr>
                <w:b/>
                <w:bCs/>
                <w:color w:val="000000"/>
                <w:kern w:val="0"/>
                <w:sz w:val="22"/>
                <w:szCs w:val="22"/>
              </w:rPr>
            </w:pPr>
            <w:r>
              <w:rPr>
                <w:b/>
                <w:bCs/>
                <w:color w:val="000000"/>
                <w:kern w:val="0"/>
                <w:sz w:val="22"/>
                <w:szCs w:val="22"/>
              </w:rPr>
              <w:t>2388936.4</w:t>
            </w:r>
          </w:p>
        </w:tc>
        <w:tc>
          <w:tcPr>
            <w:tcW w:w="2126" w:type="dxa"/>
            <w:tcBorders>
              <w:top w:val="nil"/>
              <w:left w:val="nil"/>
              <w:bottom w:val="nil"/>
              <w:right w:val="single" w:color="auto" w:sz="8" w:space="0"/>
            </w:tcBorders>
            <w:shd w:val="clear" w:color="auto" w:fill="auto"/>
            <w:vAlign w:val="center"/>
          </w:tcPr>
          <w:p>
            <w:pPr>
              <w:widowControl/>
              <w:jc w:val="center"/>
              <w:rPr>
                <w:b/>
                <w:bCs/>
                <w:color w:val="000000"/>
                <w:kern w:val="0"/>
                <w:sz w:val="22"/>
                <w:szCs w:val="22"/>
              </w:rPr>
            </w:pPr>
            <w:r>
              <w:rPr>
                <w:b/>
                <w:bCs/>
                <w:color w:val="000000"/>
                <w:kern w:val="0"/>
                <w:sz w:val="22"/>
                <w:szCs w:val="22"/>
              </w:rPr>
              <w:t>1151635.3</w:t>
            </w:r>
          </w:p>
        </w:tc>
        <w:tc>
          <w:tcPr>
            <w:tcW w:w="1884" w:type="dxa"/>
            <w:tcBorders>
              <w:top w:val="nil"/>
              <w:left w:val="nil"/>
              <w:bottom w:val="nil"/>
              <w:right w:val="nil"/>
            </w:tcBorders>
            <w:shd w:val="clear" w:color="auto" w:fill="auto"/>
            <w:vAlign w:val="center"/>
          </w:tcPr>
          <w:p>
            <w:pPr>
              <w:widowControl/>
              <w:jc w:val="center"/>
              <w:rPr>
                <w:b/>
                <w:bCs/>
                <w:color w:val="000000"/>
                <w:kern w:val="0"/>
                <w:sz w:val="22"/>
                <w:szCs w:val="22"/>
              </w:rPr>
            </w:pPr>
            <w:r>
              <w:rPr>
                <w:b/>
                <w:bCs/>
                <w:color w:val="000000"/>
                <w:kern w:val="0"/>
                <w:sz w:val="22"/>
                <w:szCs w:val="22"/>
              </w:rPr>
              <w:t>39281.9</w:t>
            </w:r>
          </w:p>
        </w:tc>
      </w:tr>
      <w:tr>
        <w:tblPrEx>
          <w:tblCellMar>
            <w:top w:w="0" w:type="dxa"/>
            <w:left w:w="108" w:type="dxa"/>
            <w:bottom w:w="0" w:type="dxa"/>
            <w:right w:w="108" w:type="dxa"/>
          </w:tblCellMar>
        </w:tblPrEx>
        <w:trPr>
          <w:trHeight w:val="439" w:hRule="atLeast"/>
        </w:trPr>
        <w:tc>
          <w:tcPr>
            <w:tcW w:w="2283" w:type="dxa"/>
            <w:tcBorders>
              <w:top w:val="nil"/>
              <w:left w:val="nil"/>
              <w:bottom w:val="nil"/>
              <w:right w:val="single" w:color="auto" w:sz="8" w:space="0"/>
            </w:tcBorders>
            <w:shd w:val="clear" w:color="auto" w:fill="auto"/>
            <w:vAlign w:val="center"/>
          </w:tcPr>
          <w:p>
            <w:pPr>
              <w:widowControl/>
              <w:rPr>
                <w:color w:val="000000"/>
                <w:kern w:val="0"/>
                <w:szCs w:val="21"/>
              </w:rPr>
            </w:pPr>
            <w:r>
              <w:rPr>
                <w:color w:val="000000"/>
                <w:kern w:val="0"/>
                <w:szCs w:val="21"/>
              </w:rPr>
              <w:t>　租赁业</w:t>
            </w:r>
          </w:p>
        </w:tc>
        <w:tc>
          <w:tcPr>
            <w:tcW w:w="2127"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2590.9</w:t>
            </w:r>
          </w:p>
        </w:tc>
        <w:tc>
          <w:tcPr>
            <w:tcW w:w="2126" w:type="dxa"/>
            <w:tcBorders>
              <w:top w:val="nil"/>
              <w:left w:val="nil"/>
              <w:bottom w:val="nil"/>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278.1</w:t>
            </w:r>
          </w:p>
        </w:tc>
        <w:tc>
          <w:tcPr>
            <w:tcW w:w="1884" w:type="dxa"/>
            <w:tcBorders>
              <w:top w:val="nil"/>
              <w:left w:val="nil"/>
              <w:bottom w:val="nil"/>
              <w:right w:val="nil"/>
            </w:tcBorders>
            <w:shd w:val="clear" w:color="auto" w:fill="auto"/>
            <w:vAlign w:val="center"/>
          </w:tcPr>
          <w:p>
            <w:pPr>
              <w:widowControl/>
              <w:jc w:val="center"/>
              <w:rPr>
                <w:color w:val="000000"/>
                <w:kern w:val="0"/>
                <w:sz w:val="22"/>
                <w:szCs w:val="22"/>
              </w:rPr>
            </w:pPr>
            <w:r>
              <w:rPr>
                <w:color w:val="000000"/>
                <w:kern w:val="0"/>
                <w:sz w:val="22"/>
                <w:szCs w:val="22"/>
              </w:rPr>
              <w:t>1893</w:t>
            </w:r>
          </w:p>
        </w:tc>
      </w:tr>
      <w:tr>
        <w:tblPrEx>
          <w:tblCellMar>
            <w:top w:w="0" w:type="dxa"/>
            <w:left w:w="108" w:type="dxa"/>
            <w:bottom w:w="0" w:type="dxa"/>
            <w:right w:w="108" w:type="dxa"/>
          </w:tblCellMar>
        </w:tblPrEx>
        <w:trPr>
          <w:trHeight w:val="439" w:hRule="atLeast"/>
        </w:trPr>
        <w:tc>
          <w:tcPr>
            <w:tcW w:w="2283" w:type="dxa"/>
            <w:tcBorders>
              <w:top w:val="nil"/>
              <w:left w:val="nil"/>
              <w:bottom w:val="single" w:color="auto" w:sz="12" w:space="0"/>
              <w:right w:val="single" w:color="auto" w:sz="8" w:space="0"/>
            </w:tcBorders>
            <w:shd w:val="clear" w:color="auto" w:fill="auto"/>
            <w:vAlign w:val="center"/>
          </w:tcPr>
          <w:p>
            <w:pPr>
              <w:widowControl/>
              <w:rPr>
                <w:color w:val="000000"/>
                <w:kern w:val="0"/>
                <w:szCs w:val="21"/>
              </w:rPr>
            </w:pPr>
            <w:r>
              <w:rPr>
                <w:color w:val="000000"/>
                <w:kern w:val="0"/>
                <w:szCs w:val="21"/>
              </w:rPr>
              <w:t>　商务服务业</w:t>
            </w:r>
          </w:p>
        </w:tc>
        <w:tc>
          <w:tcPr>
            <w:tcW w:w="2127" w:type="dxa"/>
            <w:tcBorders>
              <w:top w:val="nil"/>
              <w:left w:val="nil"/>
              <w:bottom w:val="single" w:color="000000" w:sz="12" w:space="0"/>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2386345.5</w:t>
            </w:r>
          </w:p>
        </w:tc>
        <w:tc>
          <w:tcPr>
            <w:tcW w:w="2126" w:type="dxa"/>
            <w:tcBorders>
              <w:top w:val="nil"/>
              <w:left w:val="nil"/>
              <w:bottom w:val="single" w:color="000000" w:sz="12" w:space="0"/>
              <w:right w:val="single" w:color="auto" w:sz="8" w:space="0"/>
            </w:tcBorders>
            <w:shd w:val="clear" w:color="auto" w:fill="auto"/>
            <w:vAlign w:val="center"/>
          </w:tcPr>
          <w:p>
            <w:pPr>
              <w:widowControl/>
              <w:jc w:val="center"/>
              <w:rPr>
                <w:color w:val="000000"/>
                <w:kern w:val="0"/>
                <w:sz w:val="22"/>
                <w:szCs w:val="22"/>
              </w:rPr>
            </w:pPr>
            <w:r>
              <w:rPr>
                <w:color w:val="000000"/>
                <w:kern w:val="0"/>
                <w:sz w:val="22"/>
                <w:szCs w:val="22"/>
              </w:rPr>
              <w:t>1151357.2</w:t>
            </w:r>
          </w:p>
        </w:tc>
        <w:tc>
          <w:tcPr>
            <w:tcW w:w="1884" w:type="dxa"/>
            <w:tcBorders>
              <w:top w:val="nil"/>
              <w:left w:val="nil"/>
              <w:bottom w:val="single" w:color="000000" w:sz="12" w:space="0"/>
              <w:right w:val="nil"/>
            </w:tcBorders>
            <w:shd w:val="clear" w:color="auto" w:fill="auto"/>
            <w:vAlign w:val="center"/>
          </w:tcPr>
          <w:p>
            <w:pPr>
              <w:widowControl/>
              <w:jc w:val="center"/>
              <w:rPr>
                <w:color w:val="000000"/>
                <w:kern w:val="0"/>
                <w:sz w:val="22"/>
                <w:szCs w:val="22"/>
              </w:rPr>
            </w:pPr>
            <w:r>
              <w:rPr>
                <w:color w:val="000000"/>
                <w:kern w:val="0"/>
                <w:sz w:val="22"/>
                <w:szCs w:val="22"/>
              </w:rPr>
              <w:t>37388.9</w:t>
            </w:r>
          </w:p>
        </w:tc>
      </w:tr>
    </w:tbl>
    <w:p>
      <w:pPr>
        <w:widowControl/>
        <w:spacing w:line="600" w:lineRule="exact"/>
        <w:ind w:firstLine="640" w:firstLineChars="200"/>
        <w:rPr>
          <w:rFonts w:eastAsia="仿宋_GB2312"/>
          <w:kern w:val="0"/>
          <w:sz w:val="32"/>
          <w:szCs w:val="32"/>
        </w:rPr>
      </w:pPr>
    </w:p>
    <w:p>
      <w:pPr>
        <w:widowControl/>
        <w:spacing w:line="600" w:lineRule="exact"/>
        <w:ind w:firstLine="560" w:firstLineChars="200"/>
        <w:rPr>
          <w:rFonts w:eastAsia="黑体"/>
          <w:kern w:val="0"/>
          <w:sz w:val="28"/>
          <w:szCs w:val="28"/>
        </w:rPr>
      </w:pPr>
      <w:r>
        <w:rPr>
          <w:rFonts w:eastAsia="黑体"/>
          <w:kern w:val="0"/>
          <w:sz w:val="28"/>
          <w:szCs w:val="28"/>
        </w:rPr>
        <w:t>注释：</w:t>
      </w:r>
    </w:p>
    <w:p>
      <w:pPr>
        <w:widowControl/>
        <w:spacing w:line="600" w:lineRule="exact"/>
        <w:ind w:firstLine="560" w:firstLineChars="200"/>
        <w:rPr>
          <w:rFonts w:eastAsia="仿宋_GB2312"/>
          <w:kern w:val="0"/>
          <w:sz w:val="28"/>
          <w:szCs w:val="28"/>
        </w:rPr>
      </w:pPr>
      <w:r>
        <w:rPr>
          <w:rFonts w:eastAsia="仿宋_GB2312"/>
          <w:kern w:val="0"/>
          <w:sz w:val="28"/>
          <w:szCs w:val="28"/>
        </w:rPr>
        <w:t>[1]本公报中的企业法人单位，包括机构类型为企业的法人单位，以及执行企业会计制度的事业法人单位、民办非企业法人单位和基金会，农民专业合作社，农村集体经济组织和除宗教活动场所以外的机构类型为其他组织机构的法人单位。</w:t>
      </w:r>
    </w:p>
    <w:p>
      <w:pPr>
        <w:widowControl/>
        <w:spacing w:line="600" w:lineRule="exact"/>
        <w:ind w:firstLine="560" w:firstLineChars="200"/>
      </w:pPr>
      <w:r>
        <w:rPr>
          <w:rFonts w:eastAsia="仿宋_GB2312"/>
          <w:kern w:val="0"/>
          <w:sz w:val="28"/>
          <w:szCs w:val="28"/>
        </w:rPr>
        <w:t>[2]表中的合计数和部分计算数据因小数取舍而产生的误差，均未作机械调整</w:t>
      </w:r>
      <w:r>
        <w:rPr>
          <w:rFonts w:hint="eastAsia" w:eastAsia="仿宋_GB2312"/>
          <w:kern w:val="0"/>
          <w:sz w:val="28"/>
          <w:szCs w:val="28"/>
        </w:rPr>
        <w:t>。</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13</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12</w:t>
    </w:r>
    <w:r>
      <w:rPr>
        <w:lang w:val="zh-CN"/>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203D"/>
    <w:rsid w:val="00003A6F"/>
    <w:rsid w:val="000055B4"/>
    <w:rsid w:val="0001000E"/>
    <w:rsid w:val="00010AAC"/>
    <w:rsid w:val="00041ADB"/>
    <w:rsid w:val="00073651"/>
    <w:rsid w:val="00083D83"/>
    <w:rsid w:val="0008577D"/>
    <w:rsid w:val="000C35DA"/>
    <w:rsid w:val="000D379C"/>
    <w:rsid w:val="000E563B"/>
    <w:rsid w:val="00100CEA"/>
    <w:rsid w:val="00125F43"/>
    <w:rsid w:val="001516E5"/>
    <w:rsid w:val="00215262"/>
    <w:rsid w:val="00217953"/>
    <w:rsid w:val="002252C4"/>
    <w:rsid w:val="00232EE4"/>
    <w:rsid w:val="002506EE"/>
    <w:rsid w:val="002673D8"/>
    <w:rsid w:val="00294C33"/>
    <w:rsid w:val="002A1AD7"/>
    <w:rsid w:val="002A2D36"/>
    <w:rsid w:val="0030197E"/>
    <w:rsid w:val="003551C0"/>
    <w:rsid w:val="003569F9"/>
    <w:rsid w:val="003800F1"/>
    <w:rsid w:val="003A2214"/>
    <w:rsid w:val="00414D7F"/>
    <w:rsid w:val="00416D01"/>
    <w:rsid w:val="0042281B"/>
    <w:rsid w:val="00434C13"/>
    <w:rsid w:val="00436EC4"/>
    <w:rsid w:val="0044432C"/>
    <w:rsid w:val="0044668B"/>
    <w:rsid w:val="00467BDB"/>
    <w:rsid w:val="004820B0"/>
    <w:rsid w:val="00485FC8"/>
    <w:rsid w:val="004A01C7"/>
    <w:rsid w:val="004C2CF4"/>
    <w:rsid w:val="004E6FA7"/>
    <w:rsid w:val="004F0D51"/>
    <w:rsid w:val="00545FC6"/>
    <w:rsid w:val="005567FE"/>
    <w:rsid w:val="00563894"/>
    <w:rsid w:val="0058021A"/>
    <w:rsid w:val="00582BE9"/>
    <w:rsid w:val="0059414F"/>
    <w:rsid w:val="005A353C"/>
    <w:rsid w:val="00621F25"/>
    <w:rsid w:val="0064472B"/>
    <w:rsid w:val="006C322B"/>
    <w:rsid w:val="006E3DCB"/>
    <w:rsid w:val="006E7BC9"/>
    <w:rsid w:val="006F0268"/>
    <w:rsid w:val="007528AC"/>
    <w:rsid w:val="00792123"/>
    <w:rsid w:val="007C17F8"/>
    <w:rsid w:val="00802CDA"/>
    <w:rsid w:val="008147B5"/>
    <w:rsid w:val="0087098F"/>
    <w:rsid w:val="008B1B38"/>
    <w:rsid w:val="008E068D"/>
    <w:rsid w:val="008F5A55"/>
    <w:rsid w:val="008F5D0C"/>
    <w:rsid w:val="009178FC"/>
    <w:rsid w:val="009A111F"/>
    <w:rsid w:val="009B1209"/>
    <w:rsid w:val="009B410B"/>
    <w:rsid w:val="009D19AE"/>
    <w:rsid w:val="009F38C1"/>
    <w:rsid w:val="009F5D31"/>
    <w:rsid w:val="00A46603"/>
    <w:rsid w:val="00AA314D"/>
    <w:rsid w:val="00AB55C2"/>
    <w:rsid w:val="00AB5D29"/>
    <w:rsid w:val="00AE6351"/>
    <w:rsid w:val="00B230A0"/>
    <w:rsid w:val="00B60C8F"/>
    <w:rsid w:val="00BA68E8"/>
    <w:rsid w:val="00BB0021"/>
    <w:rsid w:val="00BE5F5C"/>
    <w:rsid w:val="00BE79B4"/>
    <w:rsid w:val="00C467FA"/>
    <w:rsid w:val="00C85928"/>
    <w:rsid w:val="00C95059"/>
    <w:rsid w:val="00C951A8"/>
    <w:rsid w:val="00CA5F69"/>
    <w:rsid w:val="00CB0255"/>
    <w:rsid w:val="00CD7172"/>
    <w:rsid w:val="00D06E83"/>
    <w:rsid w:val="00D1203D"/>
    <w:rsid w:val="00D44174"/>
    <w:rsid w:val="00D62513"/>
    <w:rsid w:val="00D70147"/>
    <w:rsid w:val="00D967D4"/>
    <w:rsid w:val="00DA1ED2"/>
    <w:rsid w:val="00DC49CA"/>
    <w:rsid w:val="00DC4AFF"/>
    <w:rsid w:val="00DD1E7F"/>
    <w:rsid w:val="00DE0734"/>
    <w:rsid w:val="00DE28E4"/>
    <w:rsid w:val="00DE5B02"/>
    <w:rsid w:val="00E132C0"/>
    <w:rsid w:val="00E42827"/>
    <w:rsid w:val="00E92151"/>
    <w:rsid w:val="00EA5874"/>
    <w:rsid w:val="00F07784"/>
    <w:rsid w:val="00F42F58"/>
    <w:rsid w:val="00F503C7"/>
    <w:rsid w:val="00F5532D"/>
    <w:rsid w:val="00F64EAB"/>
    <w:rsid w:val="00F751A5"/>
    <w:rsid w:val="00F77FE2"/>
    <w:rsid w:val="00F95A69"/>
    <w:rsid w:val="00FC745B"/>
    <w:rsid w:val="00FD1C95"/>
    <w:rsid w:val="044A0419"/>
    <w:rsid w:val="0E0328C0"/>
    <w:rsid w:val="134C508F"/>
    <w:rsid w:val="194826DB"/>
    <w:rsid w:val="22A66FFB"/>
    <w:rsid w:val="287A1145"/>
    <w:rsid w:val="43905933"/>
    <w:rsid w:val="48F641E4"/>
    <w:rsid w:val="4DEC2E1C"/>
    <w:rsid w:val="4E0531CA"/>
    <w:rsid w:val="4ED76AC9"/>
    <w:rsid w:val="703E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标题"/>
    <w:basedOn w:val="1"/>
    <w:link w:val="7"/>
    <w:qFormat/>
    <w:uiPriority w:val="0"/>
    <w:pPr>
      <w:spacing w:afterLines="100"/>
      <w:jc w:val="center"/>
    </w:pPr>
    <w:rPr>
      <w:rFonts w:ascii="宋体" w:hAnsi="宋体" w:eastAsiaTheme="minorEastAsia" w:cstheme="minorBidi"/>
      <w:b/>
      <w:sz w:val="44"/>
      <w:szCs w:val="44"/>
    </w:rPr>
  </w:style>
  <w:style w:type="character" w:customStyle="1" w:styleId="7">
    <w:name w:val="正文标题 Char"/>
    <w:link w:val="6"/>
    <w:qFormat/>
    <w:uiPriority w:val="0"/>
    <w:rPr>
      <w:rFonts w:ascii="宋体" w:hAnsi="宋体"/>
      <w:b/>
      <w:sz w:val="44"/>
      <w:szCs w:val="44"/>
    </w:rPr>
  </w:style>
  <w:style w:type="paragraph" w:customStyle="1" w:styleId="8">
    <w:name w:val="标题样式"/>
    <w:basedOn w:val="1"/>
    <w:link w:val="9"/>
    <w:qFormat/>
    <w:uiPriority w:val="0"/>
    <w:pPr>
      <w:jc w:val="center"/>
    </w:pPr>
    <w:rPr>
      <w:rFonts w:asciiTheme="majorEastAsia" w:hAnsiTheme="majorEastAsia" w:eastAsiaTheme="majorEastAsia" w:cstheme="minorBidi"/>
      <w:b/>
      <w:sz w:val="48"/>
      <w:szCs w:val="48"/>
    </w:rPr>
  </w:style>
  <w:style w:type="character" w:customStyle="1" w:styleId="9">
    <w:name w:val="标题样式 Char"/>
    <w:basedOn w:val="5"/>
    <w:link w:val="8"/>
    <w:qFormat/>
    <w:uiPriority w:val="0"/>
    <w:rPr>
      <w:rFonts w:asciiTheme="majorEastAsia" w:hAnsiTheme="majorEastAsia" w:eastAsiaTheme="majorEastAsia"/>
      <w:b/>
      <w:sz w:val="48"/>
      <w:szCs w:val="48"/>
    </w:rPr>
  </w:style>
  <w:style w:type="paragraph" w:customStyle="1" w:styleId="10">
    <w:name w:val="正文样式"/>
    <w:basedOn w:val="1"/>
    <w:link w:val="11"/>
    <w:qFormat/>
    <w:uiPriority w:val="0"/>
    <w:pPr>
      <w:ind w:firstLine="640" w:firstLineChars="200"/>
    </w:pPr>
    <w:rPr>
      <w:rFonts w:ascii="仿宋" w:hAnsi="仿宋" w:eastAsia="仿宋" w:cstheme="minorBidi"/>
      <w:sz w:val="32"/>
      <w:szCs w:val="32"/>
    </w:rPr>
  </w:style>
  <w:style w:type="character" w:customStyle="1" w:styleId="11">
    <w:name w:val="正文样式 Char"/>
    <w:basedOn w:val="5"/>
    <w:link w:val="10"/>
    <w:uiPriority w:val="0"/>
    <w:rPr>
      <w:rFonts w:ascii="仿宋" w:hAnsi="仿宋" w:eastAsia="仿宋"/>
      <w:sz w:val="32"/>
      <w:szCs w:val="32"/>
    </w:rPr>
  </w:style>
  <w:style w:type="character" w:customStyle="1" w:styleId="12">
    <w:name w:val="页脚 Char"/>
    <w:basedOn w:val="5"/>
    <w:link w:val="2"/>
    <w:qFormat/>
    <w:uiPriority w:val="99"/>
    <w:rPr>
      <w:rFonts w:ascii="Times New Roman" w:hAnsi="Times New Roman" w:eastAsia="宋体" w:cs="Times New Roman"/>
      <w:sz w:val="18"/>
      <w:szCs w:val="18"/>
    </w:rPr>
  </w:style>
  <w:style w:type="character" w:customStyle="1" w:styleId="13">
    <w:name w:val="页眉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14</Pages>
  <Words>1077</Words>
  <Characters>6144</Characters>
  <Lines>51</Lines>
  <Paragraphs>14</Paragraphs>
  <TotalTime>37</TotalTime>
  <ScaleCrop>false</ScaleCrop>
  <LinksUpToDate>false</LinksUpToDate>
  <CharactersWithSpaces>7207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2020-05-22T06:01:00Z</dcterms:created>
  <dc:creator>Donatino Cho</dc:creator>
  <cp:lastModifiedBy>Administrator</cp:lastModifiedBy>
  <dcterms:modified xsi:type="dcterms:W3CDTF">2021-09-23T02:56:25Z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634989C058D14A5EB0F1C5B8AD2075A4</vt:lpwstr>
  </property>
</Properties>
</file>