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宋体" w:hAnsi="宋体" w:eastAsia="宋体" w:cs="宋体"/>
          <w:b/>
          <w:bCs/>
          <w:sz w:val="44"/>
          <w:szCs w:val="44"/>
        </w:rPr>
      </w:pPr>
      <w:r>
        <w:rPr>
          <w:rFonts w:hint="eastAsia" w:ascii="宋体" w:hAnsi="宋体" w:eastAsia="宋体" w:cs="宋体"/>
          <w:b/>
          <w:bCs/>
          <w:sz w:val="44"/>
          <w:szCs w:val="44"/>
        </w:rPr>
        <w:t>凤凰县</w:t>
      </w:r>
      <w:r>
        <w:rPr>
          <w:rFonts w:hint="eastAsia" w:ascii="宋体" w:hAnsi="宋体" w:eastAsia="宋体" w:cs="宋体"/>
          <w:b/>
          <w:bCs/>
          <w:sz w:val="44"/>
          <w:szCs w:val="44"/>
          <w:lang w:val="en-US" w:eastAsia="zh-CN"/>
        </w:rPr>
        <w:t>2020</w:t>
      </w:r>
      <w:r>
        <w:rPr>
          <w:rFonts w:hint="eastAsia" w:ascii="宋体" w:hAnsi="宋体" w:eastAsia="宋体" w:cs="宋体"/>
          <w:b/>
          <w:bCs/>
          <w:sz w:val="44"/>
          <w:szCs w:val="44"/>
        </w:rPr>
        <w:t>年国民经济和社会发展</w:t>
      </w:r>
    </w:p>
    <w:p>
      <w:pPr>
        <w:bidi w:val="0"/>
        <w:jc w:val="center"/>
        <w:rPr>
          <w:rFonts w:hint="eastAsia" w:ascii="宋体" w:hAnsi="宋体" w:eastAsia="宋体" w:cs="宋体"/>
          <w:b/>
          <w:bCs/>
          <w:sz w:val="44"/>
          <w:szCs w:val="44"/>
        </w:rPr>
      </w:pPr>
      <w:r>
        <w:rPr>
          <w:rFonts w:hint="eastAsia" w:ascii="宋体" w:hAnsi="宋体" w:eastAsia="宋体" w:cs="宋体"/>
          <w:b/>
          <w:bCs/>
          <w:sz w:val="44"/>
          <w:szCs w:val="44"/>
        </w:rPr>
        <w:t>统</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计</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公</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报</w:t>
      </w:r>
    </w:p>
    <w:p>
      <w:pPr>
        <w:pStyle w:val="2"/>
        <w:rPr>
          <w:rFonts w:hint="eastAsia"/>
        </w:rPr>
      </w:pPr>
    </w:p>
    <w:p>
      <w:pPr>
        <w:pStyle w:val="2"/>
        <w:jc w:val="center"/>
        <w:rPr>
          <w:rFonts w:hint="eastAsia" w:ascii="宋体" w:hAnsi="宋体" w:eastAsia="宋体" w:cs="宋体"/>
          <w:b w:val="0"/>
          <w:bCs w:val="0"/>
          <w:color w:val="000000" w:themeColor="text1"/>
          <w:sz w:val="32"/>
          <w:szCs w:val="32"/>
          <w:lang w:val="en-US" w:eastAsia="zh-CN"/>
          <w14:textFill>
            <w14:solidFill>
              <w14:schemeClr w14:val="tx1"/>
            </w14:solidFill>
          </w14:textFill>
        </w:rPr>
      </w:pPr>
      <w:r>
        <w:rPr>
          <w:rFonts w:hint="eastAsia" w:ascii="宋体" w:hAnsi="宋体" w:eastAsia="宋体" w:cs="宋体"/>
          <w:b w:val="0"/>
          <w:bCs w:val="0"/>
          <w:color w:val="000000" w:themeColor="text1"/>
          <w:sz w:val="32"/>
          <w:szCs w:val="32"/>
          <w:lang w:val="en-US" w:eastAsia="zh-CN"/>
          <w14:textFill>
            <w14:solidFill>
              <w14:schemeClr w14:val="tx1"/>
            </w14:solidFill>
          </w14:textFill>
        </w:rPr>
        <w:t>凤凰县统计局</w:t>
      </w:r>
    </w:p>
    <w:p>
      <w:pPr>
        <w:pStyle w:val="2"/>
        <w:jc w:val="center"/>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2021年3月22日</w:t>
      </w:r>
    </w:p>
    <w:p>
      <w:pPr>
        <w:pStyle w:val="3"/>
        <w:rPr>
          <w:rFonts w:hint="eastAsia"/>
          <w:lang w:val="en-US" w:eastAsia="zh-CN"/>
        </w:rPr>
      </w:pPr>
    </w:p>
    <w:p>
      <w:pPr>
        <w:ind w:firstLine="640" w:firstLineChars="200"/>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2020年，面对新冠肺炎疫情严重冲击和国内外错综复杂的发展环境，在县委、县政府的坚强领导下，全县上下始终坚持以习近平新时代中国特色社会主义思想为指导，全面落实州委州政府决策部署，统筹推进疫情防控和“六稳”“六保”工作。在巨大压力下，全县经济社会保持稳定健康发展，</w:t>
      </w:r>
    </w:p>
    <w:p>
      <w:pPr>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脱贫攻坚取得全面胜利，全面小康建设取得新成效。</w:t>
      </w:r>
    </w:p>
    <w:p>
      <w:pPr>
        <w:ind w:firstLine="643" w:firstLineChars="200"/>
        <w:rPr>
          <w:rFonts w:hint="default"/>
          <w:b/>
          <w:bCs/>
          <w:color w:val="auto"/>
          <w:sz w:val="32"/>
          <w:szCs w:val="32"/>
          <w:lang w:val="en-US" w:eastAsia="zh-CN"/>
        </w:rPr>
      </w:pPr>
      <w:r>
        <w:rPr>
          <w:rFonts w:hint="eastAsia"/>
          <w:b/>
          <w:bCs/>
          <w:color w:val="auto"/>
          <w:sz w:val="32"/>
          <w:szCs w:val="32"/>
          <w:lang w:val="en-US" w:eastAsia="zh-CN"/>
        </w:rPr>
        <w:t xml:space="preserve">一、综合 </w:t>
      </w:r>
    </w:p>
    <w:p>
      <w:pPr>
        <w:ind w:firstLine="640" w:firstLineChars="200"/>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初步核算，全县实现地区生产总值894134万元，增长1.2%。其中，第一产业增加值125307万元，增长4.2%；第二产业增加值173726万元，增长3.4%；第三产业增加值595101万元，增长0.15%。在全县地区生产总值中，三次产业结构由上年的12.1：19.4：68.5调整为14.01：19.43：66.56。其中，工业增加值占生产总值的比重为14.15%。第一、二、三次产业对经济增长的贡献率分别为37.52%、54.19%、8.29%（不变价计算）。全县贫困人口全部脱贫，中共凤凰县委被评为全国脱贫攻坚先进集体。</w:t>
      </w:r>
    </w:p>
    <w:p>
      <w:pPr>
        <w:ind w:firstLine="643" w:firstLineChars="200"/>
        <w:rPr>
          <w:rFonts w:hint="default"/>
          <w:b/>
          <w:bCs/>
          <w:color w:val="auto"/>
          <w:sz w:val="32"/>
          <w:szCs w:val="32"/>
          <w:lang w:val="en-US" w:eastAsia="zh-CN"/>
        </w:rPr>
      </w:pPr>
      <w:r>
        <w:rPr>
          <w:rFonts w:hint="eastAsia"/>
          <w:b/>
          <w:bCs/>
          <w:color w:val="auto"/>
          <w:sz w:val="32"/>
          <w:szCs w:val="32"/>
          <w:lang w:val="en-US" w:eastAsia="zh-CN"/>
        </w:rPr>
        <w:t>二、农业</w:t>
      </w:r>
    </w:p>
    <w:p>
      <w:pPr>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年实现农林牧渔业总产值222483.64万元，增长3.9%，其中农、林、牧、渔业、农林牧渔服务业总产值分别为130635.89万元、5609.37万元、81756.23万元、1525.19万元、2956.96万元，分别增长5.4%、6.5%、0.9%、-7.1%、7.4%。粮食作物播种面积41.18万亩，粮食总产量131909吨，增长2.64%。油料作物播种面积10.85万亩，增长1.90%。特色支柱产业稳步发展，药材、蔬菜、茶叶、柑桔、猕猴桃、水产品产量分别达到760吨、97123吨、24吨、77973吨、30233吨和1480.5吨。养殖业平稳发展，全年猪、牛、羊、家禽出栏分别达15.86万头、0.64万头、2.75万只和65.64万羽，全年主要农产品产量如下表。</w:t>
      </w:r>
    </w:p>
    <w:p>
      <w:pPr>
        <w:pStyle w:val="2"/>
        <w:rPr>
          <w:rFonts w:ascii="仿宋" w:hAnsi="仿宋" w:eastAsia="仿宋" w:cs="仿宋"/>
          <w:color w:val="000000" w:themeColor="text1"/>
          <w:sz w:val="28"/>
          <w:szCs w:val="28"/>
          <w14:textFill>
            <w14:solidFill>
              <w14:schemeClr w14:val="tx1"/>
            </w14:solidFill>
          </w14:textFill>
        </w:rPr>
      </w:pPr>
    </w:p>
    <w:tbl>
      <w:tblPr>
        <w:tblStyle w:val="10"/>
        <w:tblW w:w="6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1396"/>
        <w:gridCol w:w="1434"/>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ind w:firstLine="280" w:firstLineChars="1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农产品</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计量单位</w:t>
            </w:r>
          </w:p>
        </w:tc>
        <w:tc>
          <w:tcPr>
            <w:tcW w:w="1434"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2020</w:t>
            </w:r>
            <w:r>
              <w:rPr>
                <w:rFonts w:hint="eastAsia" w:ascii="仿宋" w:hAnsi="仿宋" w:eastAsia="仿宋" w:cs="仿宋"/>
                <w:color w:val="000000" w:themeColor="text1"/>
                <w:sz w:val="28"/>
                <w:szCs w:val="28"/>
                <w14:textFill>
                  <w14:solidFill>
                    <w14:schemeClr w14:val="tx1"/>
                  </w14:solidFill>
                </w14:textFill>
              </w:rPr>
              <w:t>年</w:t>
            </w:r>
          </w:p>
        </w:tc>
        <w:tc>
          <w:tcPr>
            <w:tcW w:w="162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同比增减%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粮食作物产量</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万吨</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13.2</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lang w:val="en-US" w:eastAsia="zh-CN"/>
                <w14:textFill>
                  <w14:solidFill>
                    <w14:schemeClr w14:val="tx1"/>
                  </w14:solidFill>
                </w14:textFill>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油菜籽产量</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吨</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8078</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烤烟产量</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吨</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1904</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lang w:val="en-US" w:eastAsia="zh-CN"/>
                <w14:textFill>
                  <w14:solidFill>
                    <w14:schemeClr w14:val="tx1"/>
                  </w14:solidFill>
                </w14:textFill>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茶叶产量</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吨</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24</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水果产量</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万吨</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3.01</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肉类总产量</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万吨</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34</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生猪存栏数</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万头</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13.08</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生猪出栏数</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万头</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5.86</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家禽存笼数</w:t>
            </w:r>
          </w:p>
        </w:tc>
        <w:tc>
          <w:tcPr>
            <w:tcW w:w="1396" w:type="dxa"/>
          </w:tcPr>
          <w:p>
            <w:pPr>
              <w:widowControl/>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万羽</w:t>
            </w:r>
          </w:p>
        </w:tc>
        <w:tc>
          <w:tcPr>
            <w:tcW w:w="1434"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50.3</w:t>
            </w:r>
          </w:p>
        </w:tc>
        <w:tc>
          <w:tcPr>
            <w:tcW w:w="1620" w:type="dxa"/>
          </w:tcPr>
          <w:p>
            <w:pPr>
              <w:widowControl/>
              <w:spacing w:line="44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2.07</w:t>
            </w:r>
          </w:p>
        </w:tc>
      </w:tr>
    </w:tbl>
    <w:p>
      <w:pPr>
        <w:rPr>
          <w:rFonts w:hint="default"/>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农业农村生产基础条件进一步改善。年内完成8个乡镇26个村高标准农田建设面积3.02万亩。</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全年累计举办各类农业实用技术培训55场次，培训农民1.6万人次，有力推动现代农业发展，为农业生产提供科</w:t>
      </w:r>
      <w:r>
        <w:rPr>
          <w:rFonts w:hint="eastAsia" w:ascii="仿宋_GB2312" w:hAnsi="仿宋_GB2312" w:eastAsia="仿宋_GB2312" w:cs="仿宋_GB2312"/>
          <w:b w:val="0"/>
          <w:bCs w:val="0"/>
          <w:sz w:val="32"/>
          <w:szCs w:val="32"/>
          <w:lang w:val="en-US" w:eastAsia="zh-CN"/>
        </w:rPr>
        <w:t>技支撑。</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县累计完成注册农民专业合作社592个、家庭农场305个（当年年新增农民专业合作社16个、家庭农场13个）；组建村集体经济合作社281个。当年完成农产品品牌有机认证2个，绿色食品认证4个，完成农产品质量安全例行监测抽检1255个。</w:t>
      </w:r>
    </w:p>
    <w:p>
      <w:pPr>
        <w:ind w:firstLine="643" w:firstLineChars="200"/>
        <w:rPr>
          <w:rFonts w:hint="default"/>
          <w:b/>
          <w:bCs/>
          <w:color w:val="000000" w:themeColor="text1"/>
          <w:sz w:val="32"/>
          <w:szCs w:val="32"/>
          <w:lang w:val="en-US" w:eastAsia="zh-CN"/>
          <w14:textFill>
            <w14:solidFill>
              <w14:schemeClr w14:val="tx1"/>
            </w14:solidFill>
          </w14:textFill>
        </w:rPr>
      </w:pPr>
      <w:r>
        <w:rPr>
          <w:rFonts w:hint="eastAsia"/>
          <w:b/>
          <w:bCs/>
          <w:color w:val="000000" w:themeColor="text1"/>
          <w:sz w:val="32"/>
          <w:szCs w:val="32"/>
          <w:lang w:val="en-US" w:eastAsia="zh-CN"/>
          <w14:textFill>
            <w14:solidFill>
              <w14:schemeClr w14:val="tx1"/>
            </w14:solidFill>
          </w14:textFill>
        </w:rPr>
        <w:t>三、工业、建筑业和房地产业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业增加值增长22.1%，其中规模工业增加值12805万元，增长10.1%。规模工业分企业类型看：国有企业增加值1848万元，下降10.3%、股份制企业增加值10957万元，增长32.9%，其中省级以上产业园区（含集中区）增加值4052万元，增长33.5%，非公有制企业增加值10957万元，增长32.9%。</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资质建筑企业</w:t>
      </w:r>
      <w:bookmarkStart w:id="0" w:name="_GoBack"/>
      <w:bookmarkEnd w:id="0"/>
      <w:r>
        <w:rPr>
          <w:rFonts w:hint="eastAsia" w:ascii="仿宋_GB2312" w:hAnsi="仿宋_GB2312" w:eastAsia="仿宋_GB2312" w:cs="仿宋_GB2312"/>
          <w:b w:val="0"/>
          <w:bCs w:val="0"/>
          <w:sz w:val="32"/>
          <w:szCs w:val="32"/>
          <w:lang w:val="en-US" w:eastAsia="zh-CN"/>
        </w:rPr>
        <w:t>总产值23182万元，下降63.1%。全县资质建筑企业房屋建筑施工面积58049平方米，下降89.6%；房屋建筑竣工面积20773平方米，增长546.7%；本年商品房销售面积（注册地口径）108409平方米，增长5.1%。</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全县房地产市场开发企业共有17家（全口径），已发放商品房预售证51本（栋），预售面积为20.31万平方米，总套数1853套（包含商业，仓库等非住宅），其中住宅906套；新建商品房成交面积为28.36万平方米（全口径），其中住宅面积为20.57万平方米；新建商品房成交金额为15.34亿元人民币，其中住宅为7.86亿元人民币；新建商品房成交均价为5410.45元/平方米，其中住宅为3821.68元/平方米;新建商品房住宅成交套数1568套。</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县共建设保障性住房9488套（城镇保障性住房5466套、公租房4022套）；全县共有商住开发小区53个（商住小区41个、单位小区12个）；商住小区共成立业主委员会19个。全县共办理二手房交易260套，成交金额7627.04万元，成交面积30939.79平方米，其中二手房住宅销售233套，成交金额6991.48万元，成交面积29001.38平方米，非二手房住宅销售27套，成交金额635.56万元，成交面积1938.41平方米；办理新建商品房现房网签业务172笔，总建筑面积19007.4平方米，成交金额0.826亿元；办理房产测绘业务256件，完成测量面积21万平方米。</w:t>
      </w:r>
    </w:p>
    <w:p>
      <w:pPr>
        <w:rPr>
          <w:rFonts w:hint="eastAsia"/>
          <w:lang w:val="en-US" w:eastAsia="zh-CN"/>
        </w:rPr>
      </w:pPr>
    </w:p>
    <w:p>
      <w:pPr>
        <w:ind w:firstLine="643" w:firstLineChars="200"/>
        <w:rPr>
          <w:rFonts w:hint="eastAsia"/>
          <w:b/>
          <w:bCs/>
          <w:color w:val="000000" w:themeColor="text1"/>
          <w:sz w:val="32"/>
          <w:szCs w:val="32"/>
          <w:lang w:val="en-US" w:eastAsia="zh-CN"/>
          <w14:textFill>
            <w14:solidFill>
              <w14:schemeClr w14:val="tx1"/>
            </w14:solidFill>
          </w14:textFill>
        </w:rPr>
      </w:pPr>
      <w:r>
        <w:rPr>
          <w:rFonts w:hint="eastAsia"/>
          <w:b/>
          <w:bCs/>
          <w:color w:val="000000" w:themeColor="text1"/>
          <w:sz w:val="32"/>
          <w:szCs w:val="32"/>
          <w:lang w:val="en-US" w:eastAsia="zh-CN"/>
          <w14:textFill>
            <w14:solidFill>
              <w14:schemeClr w14:val="tx1"/>
            </w14:solidFill>
          </w14:textFill>
        </w:rPr>
        <w:t>四、固定资产投资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年在建项目97个，其中：投资项目81个，房地产项目16个(注册地统计口径，下同)。2020年，固定资产投资达758936万元，增长5.0%（小口径），其中城镇固定资产投资608786万元，增长2.1%；房地产投资135854万元，增长7.3%。</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工业投资67364万元，同比增长16.9%；产业投资181943万元，增长7.2%；高新技术产业投资35831万元。</w:t>
      </w:r>
    </w:p>
    <w:p>
      <w:pPr>
        <w:rPr>
          <w:rFonts w:hint="default"/>
          <w:sz w:val="22"/>
          <w:szCs w:val="28"/>
          <w:lang w:val="en-US" w:eastAsia="zh-CN"/>
        </w:rPr>
      </w:pPr>
    </w:p>
    <w:p>
      <w:pPr>
        <w:numPr>
          <w:ilvl w:val="0"/>
          <w:numId w:val="1"/>
        </w:numPr>
        <w:ind w:firstLine="643" w:firstLineChars="200"/>
        <w:rPr>
          <w:rFonts w:hint="eastAsia"/>
          <w:b/>
          <w:bCs/>
          <w:color w:val="000000" w:themeColor="text1"/>
          <w:sz w:val="32"/>
          <w:szCs w:val="32"/>
          <w:lang w:val="en-US" w:eastAsia="zh-CN"/>
          <w14:textFill>
            <w14:solidFill>
              <w14:schemeClr w14:val="tx1"/>
            </w14:solidFill>
          </w14:textFill>
        </w:rPr>
      </w:pPr>
      <w:r>
        <w:rPr>
          <w:rFonts w:hint="eastAsia"/>
          <w:b/>
          <w:bCs/>
          <w:color w:val="000000" w:themeColor="text1"/>
          <w:sz w:val="32"/>
          <w:szCs w:val="32"/>
          <w:lang w:val="en-US" w:eastAsia="zh-CN"/>
          <w14:textFill>
            <w14:solidFill>
              <w14:schemeClr w14:val="tx1"/>
            </w14:solidFill>
          </w14:textFill>
        </w:rPr>
        <w:t>国内贸易</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年实现社会消费品零售总额408998万元，同比下降4.0％，其中批发业零售额59182万元，增长1.8％；零售业零售额229842万元，增长4.4％；住宿业零售额13696万元，下降20.6％；餐饮业零售额106278元，下降18.6%。在社会消费品零售总额中，城镇零售额307127万元，下降3.9%；乡村零售额101871万元，下降4.4%。</w:t>
      </w:r>
    </w:p>
    <w:p>
      <w:pPr>
        <w:rPr>
          <w:rFonts w:hint="eastAsia"/>
          <w:color w:val="FF0000"/>
        </w:rPr>
      </w:pPr>
    </w:p>
    <w:p>
      <w:pPr>
        <w:numPr>
          <w:ilvl w:val="0"/>
          <w:numId w:val="0"/>
        </w:numPr>
        <w:ind w:firstLine="643" w:firstLineChars="200"/>
        <w:rPr>
          <w:rFonts w:hint="default"/>
          <w:b/>
          <w:bCs/>
          <w:color w:val="000000" w:themeColor="text1"/>
          <w:sz w:val="32"/>
          <w:szCs w:val="32"/>
          <w:lang w:val="en-US" w:eastAsia="zh-CN"/>
          <w14:textFill>
            <w14:solidFill>
              <w14:schemeClr w14:val="tx1"/>
            </w14:solidFill>
          </w14:textFill>
        </w:rPr>
      </w:pPr>
      <w:r>
        <w:rPr>
          <w:rFonts w:hint="eastAsia"/>
          <w:b/>
          <w:bCs/>
          <w:color w:val="000000" w:themeColor="text1"/>
          <w:sz w:val="32"/>
          <w:szCs w:val="32"/>
          <w:lang w:val="en-US" w:eastAsia="zh-CN"/>
          <w14:textFill>
            <w14:solidFill>
              <w14:schemeClr w14:val="tx1"/>
            </w14:solidFill>
          </w14:textFill>
        </w:rPr>
        <w:t>六、交通运输和邮电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全年旅客客运量507.9万人，客运周转量30654.2万人公里。全县通车公路里程1548.9公里。</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28"/>
          <w:szCs w:val="28"/>
        </w:rPr>
      </w:pPr>
      <w:r>
        <w:rPr>
          <w:rFonts w:hint="eastAsia" w:ascii="仿宋_GB2312" w:hAnsi="仿宋_GB2312" w:eastAsia="仿宋_GB2312" w:cs="仿宋_GB2312"/>
          <w:b w:val="0"/>
          <w:bCs w:val="0"/>
          <w:sz w:val="32"/>
          <w:szCs w:val="32"/>
          <w:lang w:val="en-US" w:eastAsia="zh-CN"/>
        </w:rPr>
        <w:t xml:space="preserve">全年邮政业务总量4679.4万元（2010年不变价），邮政业务收入4128.8万元。行业主要服务营业网点25处，其中快递营业网点25处；全年农村投递路线长度2499.8公里，城市投递线路452.5公里；快递业务量70.7万件，其中国内同城快递1.5万件，国内异地快递69.2万件，快递收入309.4万元。  </w:t>
      </w:r>
    </w:p>
    <w:p>
      <w:pPr>
        <w:rPr>
          <w:rFonts w:hint="default"/>
          <w:color w:val="FF0000"/>
        </w:rPr>
      </w:pPr>
      <w:r>
        <w:rPr>
          <w:rFonts w:hint="eastAsia"/>
          <w:color w:val="FF0000"/>
        </w:rPr>
        <w:t> </w:t>
      </w:r>
      <w:r>
        <w:rPr>
          <w:rFonts w:hint="eastAsia"/>
          <w:b/>
          <w:bCs/>
          <w:color w:val="000000" w:themeColor="text1"/>
          <w:sz w:val="32"/>
          <w:szCs w:val="32"/>
          <w:lang w:val="en-US" w:eastAsia="zh-CN"/>
          <w14:textFill>
            <w14:solidFill>
              <w14:schemeClr w14:val="tx1"/>
            </w14:solidFill>
          </w14:textFill>
        </w:rPr>
        <w:t>   七、财政、金融和保险</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全县一般公共预算收入完成 103746万元，同比下降9.34％，其中，地方预算收入78088元，同比下降2.72％；上划中央收入20009万元，同比下降26.79％；上划省级收入5249万元，同比下降23.02％。全县税收收入58112万元，税收收入占一般公共预算收入的比重为56.01%。一般公共财政预算总支出439773万元，同比增长2.62％。其中：民生支出291702万元，同比下降5.63％，占财政总支出的66.33%。从财政预算重点支出项目看，一般公共服务支出32603万元，同比下降4.36％；教育支出63071万元，同比下降7.03％；社会保障和就业支出48673万元，同比下降6.48％；卫生健康支出45896万元，同比增长13.08％。</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年末金融机构各项存款余额141.5亿元，增长1.0 %。金融机构各项贷款余额149.0亿元，增长36.1%。</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全年保险保费收入28445.07万元，增长8.15%；在保费收入中财产保险保费收入14980.74万元，增长17.89%；人寿保险保费收入13464.33万元，下降0.96%。</w:t>
      </w:r>
    </w:p>
    <w:p>
      <w:pPr>
        <w:ind w:firstLine="321" w:firstLineChars="100"/>
        <w:rPr>
          <w:rFonts w:hint="eastAsia"/>
          <w:b/>
          <w:bCs/>
          <w:color w:val="000000" w:themeColor="text1"/>
          <w:sz w:val="32"/>
          <w:szCs w:val="32"/>
          <w:lang w:val="en-US" w:eastAsia="zh-CN"/>
          <w14:textFill>
            <w14:solidFill>
              <w14:schemeClr w14:val="tx1"/>
            </w14:solidFill>
          </w14:textFill>
        </w:rPr>
      </w:pPr>
      <w:r>
        <w:rPr>
          <w:rFonts w:hint="eastAsia"/>
          <w:b/>
          <w:bCs/>
          <w:color w:val="000000" w:themeColor="text1"/>
          <w:sz w:val="32"/>
          <w:szCs w:val="32"/>
          <w:lang w:val="en-US" w:eastAsia="zh-CN"/>
          <w14:textFill>
            <w14:solidFill>
              <w14:schemeClr w14:val="tx1"/>
            </w14:solidFill>
          </w14:textFill>
        </w:rPr>
        <w:t>八、教育和科技</w:t>
      </w:r>
    </w:p>
    <w:p>
      <w:pPr>
        <w:numPr>
          <w:ilvl w:val="0"/>
          <w:numId w:val="0"/>
        </w:numPr>
        <w:rPr>
          <w:rFonts w:hint="eastAsia" w:ascii="仿宋" w:hAnsi="仿宋" w:eastAsia="仿宋" w:cs="仿宋"/>
          <w:sz w:val="32"/>
          <w:szCs w:val="32"/>
          <w:lang w:eastAsia="zh-CN"/>
        </w:rPr>
      </w:pPr>
      <w:r>
        <w:rPr>
          <w:rFonts w:hint="eastAsia"/>
          <w:color w:val="FF0000"/>
        </w:rPr>
        <w:t> </w:t>
      </w:r>
      <w:r>
        <w:rPr>
          <w:rFonts w:hint="eastAsia"/>
          <w:color w:val="FF0000"/>
          <w:lang w:val="en-US" w:eastAsia="zh-CN"/>
        </w:rPr>
        <w:t xml:space="preserve">     </w:t>
      </w:r>
      <w:r>
        <w:rPr>
          <w:rFonts w:hint="eastAsia" w:ascii="仿宋" w:hAnsi="仿宋" w:eastAsia="仿宋" w:cs="仿宋"/>
          <w:sz w:val="32"/>
          <w:szCs w:val="32"/>
        </w:rPr>
        <w:t>全县各级各类学校</w:t>
      </w:r>
      <w:r>
        <w:rPr>
          <w:rFonts w:hint="eastAsia" w:ascii="仿宋" w:hAnsi="仿宋" w:eastAsia="仿宋" w:cs="仿宋"/>
          <w:sz w:val="32"/>
          <w:szCs w:val="32"/>
          <w:lang w:val="en-US" w:eastAsia="zh-CN"/>
        </w:rPr>
        <w:t>255</w:t>
      </w:r>
      <w:r>
        <w:rPr>
          <w:rFonts w:hint="eastAsia" w:ascii="仿宋" w:hAnsi="仿宋" w:eastAsia="仿宋" w:cs="仿宋"/>
          <w:sz w:val="32"/>
          <w:szCs w:val="32"/>
        </w:rPr>
        <w:t>所，其中：普通高中3所，初级中学20所，小学</w:t>
      </w:r>
      <w:r>
        <w:rPr>
          <w:rFonts w:hint="eastAsia" w:ascii="仿宋" w:hAnsi="仿宋" w:eastAsia="仿宋" w:cs="仿宋"/>
          <w:sz w:val="32"/>
          <w:szCs w:val="32"/>
          <w:lang w:val="en-US" w:eastAsia="zh-CN"/>
        </w:rPr>
        <w:t>144</w:t>
      </w:r>
      <w:r>
        <w:rPr>
          <w:rFonts w:hint="eastAsia" w:ascii="仿宋" w:hAnsi="仿宋" w:eastAsia="仿宋" w:cs="仿宋"/>
          <w:sz w:val="32"/>
          <w:szCs w:val="32"/>
        </w:rPr>
        <w:t>所，中等职业学校3所，特殊教育学校1所，幼儿园</w:t>
      </w:r>
      <w:r>
        <w:rPr>
          <w:rFonts w:hint="eastAsia" w:ascii="仿宋" w:hAnsi="仿宋" w:eastAsia="仿宋" w:cs="仿宋"/>
          <w:sz w:val="32"/>
          <w:szCs w:val="32"/>
          <w:lang w:val="en-US" w:eastAsia="zh-CN"/>
        </w:rPr>
        <w:t>84</w:t>
      </w:r>
      <w:r>
        <w:rPr>
          <w:rFonts w:hint="eastAsia" w:ascii="仿宋" w:hAnsi="仿宋" w:eastAsia="仿宋" w:cs="仿宋"/>
          <w:sz w:val="32"/>
          <w:szCs w:val="32"/>
        </w:rPr>
        <w:t>所。2020年秋季</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全</w:t>
      </w:r>
      <w:r>
        <w:rPr>
          <w:rFonts w:hint="eastAsia" w:ascii="仿宋" w:hAnsi="仿宋" w:eastAsia="仿宋" w:cs="仿宋"/>
          <w:sz w:val="32"/>
          <w:szCs w:val="32"/>
        </w:rPr>
        <w:t>县学前幼儿在园人数14011人，学前三年毛入园率85.21%；小学学生数33427人，初中学生人数14991，义务教育阶段巩固率99.64%；高中学生人数6043人，巩固率97.6%。中职学生人数2700</w:t>
      </w:r>
      <w:r>
        <w:rPr>
          <w:rFonts w:hint="eastAsia" w:ascii="仿宋" w:hAnsi="仿宋" w:eastAsia="仿宋" w:cs="仿宋"/>
          <w:sz w:val="32"/>
          <w:szCs w:val="32"/>
          <w:lang w:eastAsia="zh-CN"/>
        </w:rPr>
        <w:t>人</w:t>
      </w:r>
      <w:r>
        <w:rPr>
          <w:rFonts w:hint="eastAsia" w:ascii="仿宋" w:hAnsi="仿宋" w:eastAsia="仿宋" w:cs="仿宋"/>
          <w:sz w:val="32"/>
          <w:szCs w:val="32"/>
        </w:rPr>
        <w:t>。全县共有2632人报名参加</w:t>
      </w:r>
      <w:r>
        <w:rPr>
          <w:rFonts w:hint="eastAsia" w:ascii="仿宋" w:hAnsi="仿宋" w:eastAsia="仿宋" w:cs="仿宋"/>
          <w:sz w:val="32"/>
          <w:szCs w:val="32"/>
          <w:lang w:val="en-US" w:eastAsia="zh-CN"/>
        </w:rPr>
        <w:t>2020年</w:t>
      </w:r>
      <w:r>
        <w:rPr>
          <w:rFonts w:hint="eastAsia" w:ascii="仿宋" w:hAnsi="仿宋" w:eastAsia="仿宋" w:cs="仿宋"/>
          <w:sz w:val="32"/>
          <w:szCs w:val="32"/>
        </w:rPr>
        <w:t>普通高考，其中高职院校单独招生考试录取760人，高考参考考生1866人，高考600分以上考生66人，</w:t>
      </w:r>
      <w:r>
        <w:rPr>
          <w:rFonts w:hint="eastAsia" w:ascii="仿宋" w:hAnsi="仿宋" w:eastAsia="仿宋" w:cs="仿宋"/>
          <w:sz w:val="32"/>
          <w:szCs w:val="32"/>
          <w:lang w:eastAsia="zh-CN"/>
        </w:rPr>
        <w:t>文化生</w:t>
      </w:r>
      <w:r>
        <w:rPr>
          <w:rFonts w:hint="eastAsia" w:ascii="仿宋" w:hAnsi="仿宋" w:eastAsia="仿宋" w:cs="仿宋"/>
          <w:sz w:val="32"/>
          <w:szCs w:val="32"/>
        </w:rPr>
        <w:t>一本上线320人，二本</w:t>
      </w:r>
      <w:r>
        <w:rPr>
          <w:rFonts w:hint="eastAsia" w:ascii="仿宋" w:hAnsi="仿宋" w:eastAsia="仿宋" w:cs="仿宋"/>
          <w:sz w:val="32"/>
          <w:szCs w:val="32"/>
          <w:lang w:eastAsia="zh-CN"/>
        </w:rPr>
        <w:t>以上</w:t>
      </w:r>
      <w:r>
        <w:rPr>
          <w:rFonts w:hint="eastAsia" w:ascii="仿宋" w:hAnsi="仿宋" w:eastAsia="仿宋" w:cs="仿宋"/>
          <w:sz w:val="32"/>
          <w:szCs w:val="32"/>
        </w:rPr>
        <w:t>上线</w:t>
      </w:r>
      <w:r>
        <w:rPr>
          <w:rFonts w:hint="eastAsia" w:ascii="仿宋" w:hAnsi="仿宋" w:eastAsia="仿宋" w:cs="仿宋"/>
          <w:sz w:val="32"/>
          <w:szCs w:val="32"/>
          <w:lang w:val="en-US" w:eastAsia="zh-CN"/>
        </w:rPr>
        <w:t>525</w:t>
      </w:r>
      <w:r>
        <w:rPr>
          <w:rFonts w:hint="eastAsia" w:ascii="仿宋" w:hAnsi="仿宋" w:eastAsia="仿宋" w:cs="仿宋"/>
          <w:sz w:val="32"/>
          <w:szCs w:val="32"/>
        </w:rPr>
        <w:t>人，三本</w:t>
      </w:r>
      <w:r>
        <w:rPr>
          <w:rFonts w:hint="eastAsia" w:ascii="仿宋" w:hAnsi="仿宋" w:eastAsia="仿宋" w:cs="仿宋"/>
          <w:sz w:val="32"/>
          <w:szCs w:val="32"/>
          <w:lang w:eastAsia="zh-CN"/>
        </w:rPr>
        <w:t>以上</w:t>
      </w:r>
      <w:r>
        <w:rPr>
          <w:rFonts w:hint="eastAsia" w:ascii="仿宋" w:hAnsi="仿宋" w:eastAsia="仿宋" w:cs="仿宋"/>
          <w:sz w:val="32"/>
          <w:szCs w:val="32"/>
        </w:rPr>
        <w:t>上线</w:t>
      </w:r>
      <w:r>
        <w:rPr>
          <w:rFonts w:hint="eastAsia" w:ascii="仿宋" w:hAnsi="仿宋" w:eastAsia="仿宋" w:cs="仿宋"/>
          <w:sz w:val="32"/>
          <w:szCs w:val="32"/>
          <w:lang w:val="en-US" w:eastAsia="zh-CN"/>
        </w:rPr>
        <w:t>710</w:t>
      </w:r>
      <w:r>
        <w:rPr>
          <w:rFonts w:hint="eastAsia" w:ascii="仿宋" w:hAnsi="仿宋" w:eastAsia="仿宋" w:cs="仿宋"/>
          <w:sz w:val="32"/>
          <w:szCs w:val="32"/>
        </w:rPr>
        <w:t>人，均创历史新高</w:t>
      </w:r>
      <w:r>
        <w:rPr>
          <w:rFonts w:hint="eastAsia" w:ascii="仿宋" w:hAnsi="仿宋" w:eastAsia="仿宋" w:cs="仿宋"/>
          <w:sz w:val="32"/>
          <w:szCs w:val="32"/>
          <w:lang w:eastAsia="zh-CN"/>
        </w:rPr>
        <w:t>。</w:t>
      </w:r>
    </w:p>
    <w:p>
      <w:pPr>
        <w:rPr>
          <w:rFonts w:hint="eastAsia" w:ascii="仿宋" w:hAnsi="仿宋" w:eastAsia="仿宋" w:cs="仿宋"/>
          <w:sz w:val="32"/>
          <w:szCs w:val="32"/>
          <w:lang w:val="en-US" w:eastAsia="zh-CN"/>
        </w:rPr>
      </w:pPr>
      <w:r>
        <w:rPr>
          <w:rFonts w:hint="eastAsia"/>
          <w:color w:val="FF0000"/>
        </w:rPr>
        <w:t>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全年实现高新技术产业增加值</w:t>
      </w:r>
      <w:r>
        <w:rPr>
          <w:rFonts w:hint="eastAsia" w:ascii="仿宋" w:hAnsi="仿宋" w:eastAsia="仿宋" w:cs="仿宋"/>
          <w:sz w:val="32"/>
          <w:szCs w:val="32"/>
          <w:lang w:val="en-US" w:eastAsia="zh-CN"/>
        </w:rPr>
        <w:t>3592</w:t>
      </w:r>
      <w:r>
        <w:rPr>
          <w:rFonts w:hint="eastAsia" w:ascii="仿宋" w:hAnsi="仿宋" w:eastAsia="仿宋" w:cs="仿宋"/>
          <w:sz w:val="32"/>
          <w:szCs w:val="32"/>
        </w:rPr>
        <w:t>万元，占地区生产总值比重为0.</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w:t>
      </w:r>
    </w:p>
    <w:p>
      <w:pPr>
        <w:ind w:firstLine="640" w:firstLineChars="200"/>
        <w:rPr>
          <w:rFonts w:hint="eastAsia" w:ascii="仿宋" w:hAnsi="仿宋" w:eastAsia="仿宋" w:cs="仿宋"/>
          <w:sz w:val="32"/>
          <w:szCs w:val="32"/>
          <w:lang w:val="en-US" w:eastAsia="zh-CN"/>
        </w:rPr>
      </w:pPr>
      <w:r>
        <w:rPr>
          <w:rFonts w:hint="eastAsia" w:ascii="仿宋_GB2312" w:eastAsia="仿宋_GB2312"/>
          <w:sz w:val="32"/>
          <w:szCs w:val="32"/>
          <w:lang w:val="en-US" w:eastAsia="zh-CN"/>
        </w:rPr>
        <w:t>年内</w:t>
      </w:r>
      <w:r>
        <w:rPr>
          <w:rFonts w:hint="eastAsia" w:ascii="仿宋_GB2312" w:eastAsia="仿宋_GB2312"/>
          <w:sz w:val="32"/>
          <w:szCs w:val="32"/>
        </w:rPr>
        <w:t>组织和指导县内企业创新主体正式申报省州科技计划项目及创新财政奖补20个，已正式立项10个</w:t>
      </w:r>
      <w:r>
        <w:rPr>
          <w:rFonts w:hint="eastAsia" w:ascii="仿宋_GB2312" w:eastAsia="仿宋_GB2312"/>
          <w:sz w:val="32"/>
          <w:szCs w:val="32"/>
          <w:lang w:eastAsia="zh-CN"/>
        </w:rPr>
        <w:t>（</w:t>
      </w:r>
      <w:r>
        <w:rPr>
          <w:rFonts w:hint="eastAsia" w:ascii="仿宋_GB2312" w:eastAsia="仿宋_GB2312"/>
          <w:sz w:val="32"/>
          <w:szCs w:val="32"/>
        </w:rPr>
        <w:t>科技创新引导计划项目6个，科普基地认定奖补２个，创新创业大赛优秀奖１个，企业研发投入奖补１个</w:t>
      </w:r>
      <w:r>
        <w:rPr>
          <w:rFonts w:hint="eastAsia" w:ascii="仿宋_GB2312" w:eastAsia="仿宋_GB2312"/>
          <w:sz w:val="32"/>
          <w:szCs w:val="32"/>
          <w:lang w:eastAsia="zh-CN"/>
        </w:rPr>
        <w:t>）</w:t>
      </w:r>
      <w:r>
        <w:rPr>
          <w:rFonts w:hint="eastAsia" w:ascii="仿宋_GB2312" w:eastAsia="仿宋_GB2312"/>
          <w:sz w:val="32"/>
          <w:szCs w:val="32"/>
        </w:rPr>
        <w:t>，获得财政专项资金共101.67万元</w:t>
      </w:r>
      <w:r>
        <w:rPr>
          <w:rFonts w:hint="eastAsia" w:ascii="仿宋_GB2312" w:eastAsia="仿宋_GB2312"/>
          <w:sz w:val="32"/>
          <w:szCs w:val="32"/>
          <w:lang w:eastAsia="zh-CN"/>
        </w:rPr>
        <w:t>；</w:t>
      </w:r>
      <w:r>
        <w:rPr>
          <w:rFonts w:hint="eastAsia" w:ascii="仿宋_GB2312" w:eastAsia="仿宋_GB2312"/>
          <w:sz w:val="32"/>
          <w:szCs w:val="32"/>
          <w:lang w:val="en-US" w:eastAsia="zh-CN"/>
        </w:rPr>
        <w:t>年内</w:t>
      </w:r>
      <w:r>
        <w:rPr>
          <w:rFonts w:hint="eastAsia" w:ascii="仿宋_GB2312" w:eastAsia="仿宋_GB2312"/>
          <w:sz w:val="32"/>
          <w:szCs w:val="32"/>
        </w:rPr>
        <w:t>高</w:t>
      </w:r>
      <w:r>
        <w:rPr>
          <w:rFonts w:hint="eastAsia" w:ascii="仿宋_GB2312" w:eastAsia="仿宋_GB2312"/>
          <w:sz w:val="32"/>
          <w:szCs w:val="32"/>
          <w:lang w:val="en-US" w:eastAsia="zh-CN"/>
        </w:rPr>
        <w:t>新技术企业</w:t>
      </w:r>
      <w:r>
        <w:rPr>
          <w:rFonts w:hint="eastAsia" w:ascii="仿宋_GB2312" w:eastAsia="仿宋_GB2312"/>
          <w:sz w:val="32"/>
          <w:szCs w:val="32"/>
        </w:rPr>
        <w:t>认定2家，科技型中小企业认定4家。</w:t>
      </w:r>
    </w:p>
    <w:p>
      <w:pPr>
        <w:ind w:firstLine="321" w:firstLineChars="100"/>
        <w:rPr>
          <w:rFonts w:hint="default"/>
          <w:b/>
          <w:bCs/>
          <w:color w:val="000000" w:themeColor="text1"/>
          <w:sz w:val="32"/>
          <w:szCs w:val="32"/>
          <w:lang w:val="en-US" w:eastAsia="zh-CN"/>
          <w14:textFill>
            <w14:solidFill>
              <w14:schemeClr w14:val="tx1"/>
            </w14:solidFill>
          </w14:textFill>
        </w:rPr>
      </w:pPr>
      <w:r>
        <w:rPr>
          <w:rFonts w:hint="eastAsia"/>
          <w:b/>
          <w:bCs/>
          <w:color w:val="000000" w:themeColor="text1"/>
          <w:sz w:val="32"/>
          <w:szCs w:val="32"/>
          <w:lang w:val="en-US" w:eastAsia="zh-CN"/>
          <w14:textFill>
            <w14:solidFill>
              <w14:schemeClr w14:val="tx1"/>
            </w14:solidFill>
          </w14:textFill>
        </w:rPr>
        <w:t>   九、旅游、文化、卫生和体育</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年内凤凰县成功创建国家全域旅游示范区，全年共接待中外游客1776.21万人次（其中乡村游接待游客620.21万人次）,实现旅游收入173.25亿元（其中乡村实现旅游收入9.3亿元）,分别下降11.67%和13.38%。</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城乡景区提质升级步伐加快。筹集资金1.1亿元实施古城景区提质改造工程；投资1000多万元改造提质“神秘苗乡”精品旅游线路；2020年凤凰县完成新改建旅游厕所25座。</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积极消除新冠肺炎疫情对文化旅游产业影响。为抖音等新媒体线上宣传作品（36件）发放奖励资金18.12万元；对各酒店、客栈、民宿“万间免费房”活动发放补贴金额101.85万元。通过举办“探非之旅”非遗展演、苗家婚俗体验、“浪漫九月”苗族风情展示、苗王“开寨门”活动等一系列旅游宣传营销活动，有力地促进文化旅游市场复苏回暖。</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文化旅游市场秩序不断规范。全年共出动文化和旅游执法人员4814（人）次，出动车辆398车次，共检查文化旅游经营单位7940家次，开展专项行动10余次。2020年共受理游客投诉84起，其中旅游行业投诉9起，市监、物价、交通等投诉75起，挽回游客经济损失21468元，投诉处理率100%，游客满意率100%。</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农村基层文化服务基础设施建设扎实推进。全年完成16个村级综合文化服务中心建设，实现275个行政村（社区）全覆盖。</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群众基层文化活动不断丰富。先后举办“竹山赶年”乡村春晚、“湘遇丰收年，幸福奔小康”农民丰收节、庚子中秋·国庆文艺晚会、“欢乐潇湘”精准扶贫优秀文艺作品巡演启动仪式等大型文化娱乐活动，累计吸引现场观众2.1万余人次。文化馆共接待群众5000余人次，举办“三区”人才等文艺培训3次，共培训320余人次。全年共开展送戏下乡144次。全年共开展送书下乡阅读推广活动共12次，发放图书、期刊、各类知识宣传手册等文献资料共计10000余册。全年举办苗绣、蜡染等非遗培训4次，培训127人次。                                 </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全县有表演团体272个、文化馆1个、文化站17个、公共图书馆1个，农家书屋275个。</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全县有广播电台1座；有电视台1座，有线数字电视通乡率70%，有线数字电视通村率40%，电视综合覆盖率95%。</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全力做好新冠肺炎疫情防控，年内新冠肺炎疫情零发生，同时精心指导企业商户复工复产、学生复学复课，各医疗机构为 6.2万余外出务工人员出具健康证明，极大地促进经济发展复苏回暖。</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全县累计执业医师注册549人，累计执业助理医师注册199人，累计护士注册955人，年末全县有医疗卫生机构31个，其中：综合医院1 所、中医院1 所、妇幼保健院1所、民营医院3所、疾病预防控制中心1个、乡镇卫生院24个。</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全县农村适龄妇女免费“两癌”检査完成率102.10％，孕产妇免费产前筛查完成率100.04％，免费孕前优生健康检査完成率100.40％，新生儿疾病筛查率96.62%。</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全县275个村卫生室均实现有执业场地，配备合格村医，配备7种以上基本设备、40种以上基本药品。健康扶贫远程医疗平台建成投入使用，远程诊疗受益群众达6300余人次。</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城市治理工作扎实推进，当年顺利通过省级卫生县城复检验收。</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以“文明凤凰、活力凤凰、魅力凤凰”为主题大力开展全民健身活动。先后举办2020年“穿越千年古寨，角逐烟雨凤凰”中国·凤凰古城第四届自行车公开赛、象棋公开赛、“江湖山道”学生徒步拉练活动、“角逐苗疆边墙·放飞脱贫梦想”第三届南长城登高活动、“平安杯”乡镇机关篮球赛、第一届“财税金融杯”气排球赛等赛事活动，通过一系列赛事活动有力地推动全民健身向纵深发展。全年完成体育彩票销售额642万元。</w:t>
      </w:r>
    </w:p>
    <w:p>
      <w:pPr>
        <w:ind w:firstLine="643" w:firstLineChars="200"/>
        <w:rPr>
          <w:rFonts w:hint="eastAsia"/>
          <w:b/>
          <w:bCs/>
          <w:color w:val="auto"/>
          <w:sz w:val="32"/>
          <w:szCs w:val="32"/>
        </w:rPr>
      </w:pPr>
      <w:r>
        <w:rPr>
          <w:rFonts w:hint="eastAsia"/>
          <w:b/>
          <w:bCs/>
          <w:color w:val="auto"/>
          <w:sz w:val="32"/>
          <w:szCs w:val="32"/>
          <w:lang w:val="en-US" w:eastAsia="zh-CN"/>
        </w:rPr>
        <w:t>十、</w:t>
      </w:r>
      <w:r>
        <w:rPr>
          <w:rFonts w:hint="eastAsia"/>
          <w:b/>
          <w:bCs/>
          <w:color w:val="auto"/>
          <w:sz w:val="32"/>
          <w:szCs w:val="32"/>
        </w:rPr>
        <w:t>资源、环境和安全生产</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凤凰</w:t>
      </w:r>
      <w:r>
        <w:rPr>
          <w:rFonts w:hint="eastAsia" w:ascii="仿宋_GB2312" w:hAnsi="仿宋_GB2312" w:eastAsia="仿宋_GB2312" w:cs="仿宋_GB2312"/>
          <w:b w:val="0"/>
          <w:bCs w:val="0"/>
          <w:color w:val="auto"/>
          <w:sz w:val="32"/>
          <w:szCs w:val="32"/>
          <w:highlight w:val="none"/>
        </w:rPr>
        <w:t>县</w:t>
      </w:r>
      <w:r>
        <w:rPr>
          <w:rFonts w:hint="eastAsia" w:ascii="仿宋_GB2312" w:hAnsi="仿宋_GB2312" w:eastAsia="仿宋_GB2312" w:cs="仿宋_GB2312"/>
          <w:color w:val="auto"/>
          <w:sz w:val="32"/>
          <w:szCs w:val="32"/>
          <w:highlight w:val="none"/>
        </w:rPr>
        <w:t>第三次国土调查</w:t>
      </w:r>
      <w:r>
        <w:rPr>
          <w:rFonts w:hint="eastAsia" w:ascii="仿宋_GB2312" w:hAnsi="仿宋_GB2312" w:eastAsia="仿宋_GB2312" w:cs="仿宋_GB2312"/>
          <w:color w:val="auto"/>
          <w:sz w:val="32"/>
          <w:szCs w:val="32"/>
          <w:highlight w:val="none"/>
          <w:lang w:val="en-US" w:eastAsia="zh-CN"/>
        </w:rPr>
        <w:t>成果显示：凤凰县有一级、二级地分别为13个和38个，国土总面积173358.72公顷（其中：耕地为34136.53公顷、</w:t>
      </w:r>
      <w:r>
        <w:rPr>
          <w:rFonts w:hint="eastAsia" w:ascii="仿宋_GB2312" w:hAnsi="仿宋_GB2312" w:eastAsia="仿宋_GB2312" w:cs="仿宋_GB2312"/>
          <w:b w:val="0"/>
          <w:i w:val="0"/>
          <w:snapToGrid/>
          <w:color w:val="auto"/>
          <w:sz w:val="32"/>
          <w:szCs w:val="32"/>
          <w:highlight w:val="none"/>
          <w:shd w:val="clear" w:color="auto" w:fill="FFFFFF"/>
        </w:rPr>
        <w:t>基本农田面积为27559公顷</w:t>
      </w:r>
      <w:r>
        <w:rPr>
          <w:rFonts w:hint="eastAsia" w:ascii="仿宋_GB2312" w:hAnsi="仿宋_GB2312" w:eastAsia="仿宋_GB2312" w:cs="仿宋_GB2312"/>
          <w:color w:val="auto"/>
          <w:sz w:val="32"/>
          <w:szCs w:val="32"/>
          <w:highlight w:val="none"/>
          <w:lang w:val="en-US" w:eastAsia="zh-CN"/>
        </w:rPr>
        <w:t>、种植园用地为5046.80公顷、林地为117226.35公顷、商业服务业用地为125.66公顷、工矿用地为409.09公顷、住宅用地为4302.67公顷、公共管理与公共服务用地为281.73公顷）。</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全年对125处地质灾害隐患点实施全面监测监控，搬迁地质灾害避险107户。全县共办理不动产权证12814本。</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全县林业用地110777.9公顷，有林地75927.5公顷，活立木蓄积4688072立方米。全县有省级自然保护区2个，保护区面积17338公顷，其中两头羊保护区面积8838公顷，九重岩保护区面积8500公顷。全年森林火灾受害率控制在0.3‰，森林覆盖率稳定在58%.</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完成石漠化综合治理任务16527亩（其中新造林3250.5亩，封山补植林13276.5亩），完成是长防林工程建设任务5400亩（其中新造林2400亩，封山育林3000亩）；完成熊猫管理中心建设（凤凰中华大熊猫园）任务，8只大熊猫安家凤凰，填补凤凰全域旅游空白。</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城市环卫保洁强化精细管理。城区保洁作业总面积208万㎡（其中：古城区街道保洁面积6.5万㎡）全面实施“主、次、背街道路和河道”四级精细化管理。</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污水处理厂达标改造完成。实际处理污水970万m³，污水污染物累积消减COD约572吨、氨氮97.88吨，污泥含水率在50%左右。</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路灯管理水平不断提高，更换灯泡及检修更换老化的故障电气设备1600套,线路维修和更换线路2300多米，方便市民出行。</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城市绿化有新进展。年内新增园林单位（小区）11个；沱江河（北门码头至雪桥）摆放花卉3万余盆，供市民游客观赏。</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年内天燃气LNG气化站投入使用，累计安装入户2800户，开通居民用户1032户，开通商业用户58户。</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全年完成自来水售水量665万吨；年内新增自来水报装户数909户，城镇总用水户已达36251户；自来水出厂水质综合合格率达到100%，供水正常率达到98%。</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空气、水质质量持续向好。PM2.5平均浓度为25微克/立方米;全年城市空气质量优良天数349天，优良以上空气质量达标率为95.4%；Ш类或优于Ш类水质达标率为100%；农村生活污水处理率65%。</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农村人居环境进一步改善，完成农村户厕改（新）建5033户。</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default" w:ascii="仿宋_GB2312" w:hAnsi="仿宋_GB2312" w:eastAsia="仿宋_GB2312" w:cs="仿宋_GB2312"/>
          <w:b w:val="0"/>
          <w:bCs w:val="0"/>
          <w:color w:val="auto"/>
          <w:sz w:val="32"/>
          <w:szCs w:val="32"/>
          <w:highlight w:val="none"/>
          <w:lang w:val="en-US" w:eastAsia="zh-CN"/>
        </w:rPr>
        <w:t>全县安全生产形势基本保持总体稳定</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共发生各类安全事故181起，死亡33人，受伤162人，经济损失257.9万元</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发生1起较大安全事故，未发生较大以上安全生产经营性事故和较大以上亡人森林火灾及重大森林火灾事故</w:t>
      </w:r>
      <w:r>
        <w:rPr>
          <w:rFonts w:hint="eastAsia" w:ascii="仿宋_GB2312" w:hAnsi="仿宋_GB2312" w:eastAsia="仿宋_GB2312" w:cs="仿宋_GB2312"/>
          <w:b w:val="0"/>
          <w:bCs w:val="0"/>
          <w:color w:val="auto"/>
          <w:sz w:val="32"/>
          <w:szCs w:val="32"/>
          <w:highlight w:val="none"/>
          <w:lang w:val="en-US" w:eastAsia="zh-CN"/>
        </w:rPr>
        <w:t>。</w:t>
      </w:r>
    </w:p>
    <w:p>
      <w:pPr>
        <w:ind w:firstLine="248"/>
        <w:rPr>
          <w:rFonts w:hint="default"/>
          <w:color w:val="FF0000"/>
        </w:rPr>
      </w:pPr>
    </w:p>
    <w:p>
      <w:pPr>
        <w:ind w:firstLine="248"/>
        <w:rPr>
          <w:rFonts w:hint="default"/>
          <w:color w:val="FF0000"/>
        </w:rPr>
      </w:pPr>
    </w:p>
    <w:p>
      <w:pPr>
        <w:rPr>
          <w:rFonts w:hint="default"/>
          <w:color w:val="auto"/>
          <w:sz w:val="32"/>
          <w:szCs w:val="32"/>
        </w:rPr>
      </w:pPr>
      <w:r>
        <w:rPr>
          <w:rFonts w:hint="eastAsia"/>
          <w:color w:val="FF0000"/>
        </w:rPr>
        <w:t>  </w:t>
      </w:r>
      <w:r>
        <w:rPr>
          <w:rFonts w:hint="eastAsia"/>
          <w:color w:val="auto"/>
          <w:sz w:val="32"/>
          <w:szCs w:val="32"/>
        </w:rPr>
        <w:t xml:space="preserve"> </w:t>
      </w:r>
      <w:r>
        <w:rPr>
          <w:rFonts w:hint="eastAsia"/>
          <w:b/>
          <w:bCs/>
          <w:color w:val="auto"/>
          <w:sz w:val="32"/>
          <w:szCs w:val="32"/>
        </w:rPr>
        <w:t> </w:t>
      </w:r>
      <w:r>
        <w:rPr>
          <w:rFonts w:hint="eastAsia"/>
          <w:b/>
          <w:bCs/>
          <w:color w:val="auto"/>
          <w:sz w:val="32"/>
          <w:szCs w:val="32"/>
          <w:lang w:val="en-US" w:eastAsia="zh-CN"/>
        </w:rPr>
        <w:t xml:space="preserve"> </w:t>
      </w:r>
      <w:r>
        <w:rPr>
          <w:rFonts w:hint="eastAsia"/>
          <w:b/>
          <w:bCs/>
          <w:color w:val="auto"/>
          <w:sz w:val="32"/>
          <w:szCs w:val="32"/>
        </w:rPr>
        <w:t>十一、人口、人民生活和社会保障</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年末全县总人口42.11万人，常住人口35.21万人（城镇人口15.49万人，乡村人口19.72万人，全县城镇化率为44%）；在总人口中，少数民族人口33.33万人，占总人口的79.15％；在少数民族人口中苗族24.9万人，占总人口的59.13%。全县出生人口4142人、人口出生率为9.6‰，死亡人口2582人、死亡率为5.98‰，人口自然增长率3.62‰。</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全县城镇居民人均可支配收入28003元，增长4.6%；农村居民人均可支配收入12368元，增长11.4%。城乡居民家庭消费总支出12828.06元，居民文教娱乐服务支出1547.08元，占消费总支出的12.06%。</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城乡就业后劲持续增强。新增城镇就业完成2544人，新增农村劳动力转移就业4051人;城镇登记失业率控制在3.34%以内。</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社保体系建设日趋完善。全县共有312家企业单位参加企业职工基本养老保险，参保人数达11964人，全年完成企业养老保险基金征缴7866万元；全年企业社保共计发放退休待遇1.95亿元。全县共有207个机关事业单位参加机关事业单位养老保险，参保干部职工达9498人，全年完成机关事业单位养老基金收入13329万元；年内启动机关事业单位退休人员的退休工资社会化发放工作，年内机关事业单位社保共计发放退休待遇1.97亿元。全县城乡居民养老保险年内全部做到“应保尽保”、“应缴尽缴”和“应发尽发”。</w:t>
      </w:r>
    </w:p>
    <w:p>
      <w:pPr>
        <w:keepNext w:val="0"/>
        <w:keepLines w:val="0"/>
        <w:pageBreakBefore w:val="0"/>
        <w:numPr>
          <w:ilvl w:val="0"/>
          <w:numId w:val="0"/>
        </w:numPr>
        <w:kinsoku/>
        <w:wordWrap/>
        <w:overflowPunct/>
        <w:topLinePunct w:val="0"/>
        <w:autoSpaceDE/>
        <w:autoSpaceDN/>
        <w:bidi w:val="0"/>
        <w:spacing w:line="570" w:lineRule="exact"/>
        <w:ind w:firstLine="320" w:firstLineChars="1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 劳动关系总体和谐稳定。共办理农民工工资支付案件45起(协调处理案件40起，立案办理5起)，为劳动者追回拖欠工资2183万元；共处理劳动人事争议仲裁案件73件（调解结案8件、裁决结案65件），处理争议案件涉及金额164.97万余元。</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城乡居民医保应参保34.88万人，完成34.99万人，参保率100.29%。其中建档立卡贫困人员应参保89012人，实际参保89012人，参保率为100%。建档立卡贫困人口总报销比例达82.53%（其中县域内住院报销比例达到85.09%、县域外住院报销比例达80.02%）；城乡居民享受基本医疗待遇13.92万人次、补偿金额19920.27万元；享受城镇职工基本医疗保险25.60万人次，总补偿金额5796.22万元。年内共完成449人的特殊医疗救助，救助总金额126.44万元；积极落实对因疫情受影响的困难企事业单位职工医保减免政策，年内共为31个企事业单位减免医保金77.15万元，有力推动企事业单位的复工复产；县域内32家协议医疗机构实行“先诊疗后付费”“一站式”结算模式，享受“先诊疗后付费”贫困群众达13624人次。</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城乡弱势群体保障水平持续提升。年内</w:t>
      </w:r>
      <w:r>
        <w:rPr>
          <w:rFonts w:hint="default" w:ascii="仿宋_GB2312" w:hAnsi="仿宋_GB2312" w:eastAsia="仿宋_GB2312" w:cs="仿宋_GB2312"/>
          <w:b w:val="0"/>
          <w:bCs w:val="0"/>
          <w:color w:val="auto"/>
          <w:sz w:val="32"/>
          <w:szCs w:val="32"/>
          <w:highlight w:val="none"/>
          <w:lang w:val="en-US" w:eastAsia="zh-CN"/>
        </w:rPr>
        <w:t>全县农村最低生活保障线调整为4200元/年，分350、240、180元/月三类施保</w:t>
      </w:r>
      <w:r>
        <w:rPr>
          <w:rFonts w:hint="eastAsia" w:ascii="仿宋_GB2312" w:hAnsi="仿宋_GB2312" w:eastAsia="仿宋_GB2312" w:cs="仿宋_GB2312"/>
          <w:b w:val="0"/>
          <w:bCs w:val="0"/>
          <w:color w:val="auto"/>
          <w:sz w:val="32"/>
          <w:szCs w:val="32"/>
          <w:highlight w:val="none"/>
          <w:lang w:val="en-US" w:eastAsia="zh-CN"/>
        </w:rPr>
        <w:t>。全年共为</w:t>
      </w:r>
      <w:r>
        <w:rPr>
          <w:rFonts w:hint="default" w:ascii="仿宋_GB2312" w:hAnsi="仿宋_GB2312" w:eastAsia="仿宋_GB2312" w:cs="仿宋_GB2312"/>
          <w:b w:val="0"/>
          <w:bCs w:val="0"/>
          <w:color w:val="auto"/>
          <w:sz w:val="32"/>
          <w:szCs w:val="32"/>
          <w:highlight w:val="none"/>
          <w:lang w:val="en-US" w:eastAsia="zh-CN"/>
        </w:rPr>
        <w:t>6600户19985人农村低保</w:t>
      </w:r>
      <w:r>
        <w:rPr>
          <w:rFonts w:hint="eastAsia" w:ascii="仿宋_GB2312" w:hAnsi="仿宋_GB2312" w:eastAsia="仿宋_GB2312" w:cs="仿宋_GB2312"/>
          <w:b w:val="0"/>
          <w:bCs w:val="0"/>
          <w:color w:val="auto"/>
          <w:sz w:val="32"/>
          <w:szCs w:val="32"/>
          <w:highlight w:val="none"/>
          <w:lang w:val="en-US" w:eastAsia="zh-CN"/>
        </w:rPr>
        <w:t>对象（</w:t>
      </w:r>
      <w:r>
        <w:rPr>
          <w:rFonts w:hint="default" w:ascii="仿宋_GB2312" w:hAnsi="仿宋_GB2312" w:eastAsia="仿宋_GB2312" w:cs="仿宋_GB2312"/>
          <w:b w:val="0"/>
          <w:bCs w:val="0"/>
          <w:color w:val="auto"/>
          <w:sz w:val="32"/>
          <w:szCs w:val="32"/>
          <w:highlight w:val="none"/>
          <w:lang w:val="en-US" w:eastAsia="zh-CN"/>
        </w:rPr>
        <w:t>其中兜底保障对象1298户2826人</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累计发放农村低保金5146.4万元</w:t>
      </w:r>
      <w:r>
        <w:rPr>
          <w:rFonts w:hint="eastAsia" w:ascii="仿宋_GB2312" w:hAnsi="仿宋_GB2312" w:eastAsia="仿宋_GB2312" w:cs="仿宋_GB2312"/>
          <w:b w:val="0"/>
          <w:bCs w:val="0"/>
          <w:color w:val="auto"/>
          <w:sz w:val="32"/>
          <w:szCs w:val="32"/>
          <w:highlight w:val="none"/>
          <w:lang w:val="en-US" w:eastAsia="zh-CN"/>
        </w:rPr>
        <w:t>；年内</w:t>
      </w:r>
      <w:r>
        <w:rPr>
          <w:rFonts w:hint="default" w:ascii="仿宋_GB2312" w:hAnsi="仿宋_GB2312" w:eastAsia="仿宋_GB2312" w:cs="仿宋_GB2312"/>
          <w:b w:val="0"/>
          <w:bCs w:val="0"/>
          <w:color w:val="auto"/>
          <w:sz w:val="32"/>
          <w:szCs w:val="32"/>
          <w:highlight w:val="none"/>
          <w:lang w:val="en-US" w:eastAsia="zh-CN"/>
        </w:rPr>
        <w:t>城镇低保对象1494户3267人，保障标准提高至580、500、360、300元/月四类施保，</w:t>
      </w:r>
      <w:r>
        <w:rPr>
          <w:rFonts w:hint="eastAsia" w:ascii="仿宋_GB2312" w:hAnsi="仿宋_GB2312" w:eastAsia="仿宋_GB2312" w:cs="仿宋_GB2312"/>
          <w:b w:val="0"/>
          <w:bCs w:val="0"/>
          <w:color w:val="auto"/>
          <w:sz w:val="32"/>
          <w:szCs w:val="32"/>
          <w:highlight w:val="none"/>
          <w:lang w:val="en-US" w:eastAsia="zh-CN"/>
        </w:rPr>
        <w:t>全年</w:t>
      </w:r>
      <w:r>
        <w:rPr>
          <w:rFonts w:hint="default" w:ascii="仿宋_GB2312" w:hAnsi="仿宋_GB2312" w:eastAsia="仿宋_GB2312" w:cs="仿宋_GB2312"/>
          <w:b w:val="0"/>
          <w:bCs w:val="0"/>
          <w:color w:val="auto"/>
          <w:sz w:val="32"/>
          <w:szCs w:val="32"/>
          <w:highlight w:val="none"/>
          <w:lang w:val="en-US" w:eastAsia="zh-CN"/>
        </w:rPr>
        <w:t>累计发放</w:t>
      </w:r>
      <w:r>
        <w:rPr>
          <w:rFonts w:hint="eastAsia" w:ascii="仿宋_GB2312" w:hAnsi="仿宋_GB2312" w:eastAsia="仿宋_GB2312" w:cs="仿宋_GB2312"/>
          <w:b w:val="0"/>
          <w:bCs w:val="0"/>
          <w:color w:val="auto"/>
          <w:sz w:val="32"/>
          <w:szCs w:val="32"/>
          <w:highlight w:val="none"/>
          <w:lang w:val="en-US" w:eastAsia="zh-CN"/>
        </w:rPr>
        <w:t>城镇低保</w:t>
      </w:r>
      <w:r>
        <w:rPr>
          <w:rFonts w:hint="default" w:ascii="仿宋_GB2312" w:hAnsi="仿宋_GB2312" w:eastAsia="仿宋_GB2312" w:cs="仿宋_GB2312"/>
          <w:b w:val="0"/>
          <w:bCs w:val="0"/>
          <w:color w:val="auto"/>
          <w:sz w:val="32"/>
          <w:szCs w:val="32"/>
          <w:highlight w:val="none"/>
          <w:lang w:val="en-US" w:eastAsia="zh-CN"/>
        </w:rPr>
        <w:t>金1493.1万元。积极应对新冠肺炎疫情造成的部分群众家庭生活困难问题，县</w:t>
      </w:r>
      <w:r>
        <w:rPr>
          <w:rFonts w:hint="eastAsia" w:ascii="仿宋_GB2312" w:hAnsi="仿宋_GB2312" w:eastAsia="仿宋_GB2312" w:cs="仿宋_GB2312"/>
          <w:b w:val="0"/>
          <w:bCs w:val="0"/>
          <w:color w:val="auto"/>
          <w:sz w:val="32"/>
          <w:szCs w:val="32"/>
          <w:highlight w:val="none"/>
          <w:lang w:val="en-US" w:eastAsia="zh-CN"/>
        </w:rPr>
        <w:t>民政</w:t>
      </w:r>
      <w:r>
        <w:rPr>
          <w:rFonts w:hint="default" w:ascii="仿宋_GB2312" w:hAnsi="仿宋_GB2312" w:eastAsia="仿宋_GB2312" w:cs="仿宋_GB2312"/>
          <w:b w:val="0"/>
          <w:bCs w:val="0"/>
          <w:color w:val="auto"/>
          <w:sz w:val="32"/>
          <w:szCs w:val="32"/>
          <w:highlight w:val="none"/>
          <w:lang w:val="en-US" w:eastAsia="zh-CN"/>
        </w:rPr>
        <w:t>局本级累计救助困难群众 1010户，发放临时救助金173.5万元，下拨各乡镇临时救助资金188.2万元，发放城乡低保物价补贴共计816.6万元</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及时解决突发性因素造成的群众生活困难问题。</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殡葬改革、残疾人保障、乞讨救助工作持续推进。年内全县城区死亡226例、集中治丧226例，集中安葬232例，火化115例，火化率51%；重度残疾人护理补贴、困难残疾人生活补贴标准均提高至100元/月，年内享受残疾人困难生活补贴4430人，享受重度残疾人护理补贴4012人，共发放资金904万元；为14名残疾人安装假肢，向143位困难残疾人发放护理床、轮椅、坐便轮椅、助行器等辅助器具281件；年内共救助乞讨人员386人，发放救助资金44万元。</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生福祉持续增进，儿童保障和养老服务体系不断完善。年内共为83名孤儿发放资金118.9万元，为93名事实无人抚养儿童发放资金52.3万元；全县特困供养老人1051户，1115人，其中集中供养278人，城乡特困供养人员基本生活费标准分别达9048元/年、5520元/年，全年发放资金733万元；年末全县敬老院拥有养老床位572个，护理性床位305个；年内共为828名高龄老人发放津贴90.2万元，为27位百岁老人发放长寿津贴11.1万元；疫情期间，向800名散居特困老人发放慈善补助资金40万元，为孤儿发放慈善助学资金50万元；全县2.8万人次参与“关爱贫困孤儿助学相约99公益日”活动，获得慈善捐款155万元。</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基层自治和社会组织得到不断强化。年内撤销金坪村、土桥村、虹桥村、大众村、蔬菜村等5个城中城边村，组建金坪社区、土桥社区、虹桥社区、大众社区以及渭阳社区，村改社后，全县辖256个行政村26个城乡社区；全县共有社团71个，民办非企业75个；采取政府购买服务的模式，不断完善全县17个乡镇社工站建设，30余名社工有效开展民生保障业务。</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全年共销售福利彩票2644.5万元，其中电脑型彩票销售2387.9万元，即开型彩票共销售256.6万元。</w:t>
      </w:r>
    </w:p>
    <w:p>
      <w:pPr>
        <w:keepNext w:val="0"/>
        <w:keepLines w:val="0"/>
        <w:pageBreakBefore w:val="0"/>
        <w:numPr>
          <w:ilvl w:val="0"/>
          <w:numId w:val="0"/>
        </w:numPr>
        <w:kinsoku/>
        <w:wordWrap/>
        <w:overflowPunct/>
        <w:topLinePunct w:val="0"/>
        <w:autoSpaceDE/>
        <w:autoSpaceDN/>
        <w:bidi w:val="0"/>
        <w:spacing w:line="57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default" w:ascii="仿宋_GB2312" w:hAnsi="仿宋_GB2312" w:eastAsia="仿宋_GB2312" w:cs="仿宋_GB2312"/>
          <w:b w:val="0"/>
          <w:bCs w:val="0"/>
          <w:color w:val="auto"/>
          <w:sz w:val="32"/>
          <w:szCs w:val="32"/>
          <w:highlight w:val="none"/>
          <w:lang w:val="en-US" w:eastAsia="zh-CN"/>
        </w:rPr>
        <w:t>全年办理婚姻登记4408对，其中结婚登记3296对，离婚登记1112对。</w:t>
      </w:r>
    </w:p>
    <w:p>
      <w:pPr>
        <w:pStyle w:val="2"/>
        <w:rPr>
          <w:rFonts w:hint="default" w:ascii="仿宋_GB2312" w:hAnsi="仿宋_GB2312" w:eastAsia="仿宋_GB2312" w:cs="仿宋_GB2312"/>
          <w:b w:val="0"/>
          <w:bCs w:val="0"/>
          <w:color w:val="auto"/>
          <w:sz w:val="32"/>
          <w:szCs w:val="32"/>
          <w:highlight w:val="none"/>
          <w:lang w:val="en-US" w:eastAsia="zh-CN"/>
        </w:rPr>
      </w:pPr>
    </w:p>
    <w:p>
      <w:pPr>
        <w:pStyle w:val="3"/>
        <w:rPr>
          <w:rFonts w:hint="default" w:ascii="仿宋_GB2312" w:hAnsi="仿宋_GB2312" w:eastAsia="仿宋_GB2312" w:cs="仿宋_GB2312"/>
          <w:b w:val="0"/>
          <w:bCs w:val="0"/>
          <w:color w:val="auto"/>
          <w:sz w:val="32"/>
          <w:szCs w:val="32"/>
          <w:highlight w:val="none"/>
          <w:lang w:val="en-US" w:eastAsia="zh-CN"/>
        </w:rPr>
      </w:pPr>
    </w:p>
    <w:p>
      <w:pPr>
        <w:rPr>
          <w:rFonts w:hint="eastAsia"/>
          <w:lang w:val="en-US" w:eastAsia="zh-CN"/>
        </w:rPr>
      </w:pPr>
    </w:p>
    <w:p>
      <w:pPr>
        <w:rPr>
          <w:rFonts w:hint="eastAsia" w:ascii="仿宋" w:hAnsi="仿宋" w:eastAsia="仿宋" w:cs="仿宋"/>
          <w:color w:val="auto"/>
          <w:sz w:val="28"/>
          <w:szCs w:val="28"/>
        </w:rPr>
      </w:pPr>
      <w:r>
        <w:rPr>
          <w:rFonts w:hint="eastAsia" w:ascii="仿宋" w:hAnsi="仿宋" w:eastAsia="仿宋" w:cs="仿宋"/>
          <w:color w:val="auto"/>
          <w:sz w:val="28"/>
          <w:szCs w:val="28"/>
        </w:rPr>
        <w:t> 注：1、本公报中数据均为初步统计数。</w:t>
      </w:r>
    </w:p>
    <w:p>
      <w:pPr>
        <w:ind w:left="1198" w:leftChars="304" w:hanging="560" w:hangingChars="200"/>
        <w:rPr>
          <w:rFonts w:hint="eastAsia" w:ascii="仿宋" w:hAnsi="仿宋" w:eastAsia="仿宋" w:cs="仿宋"/>
          <w:color w:val="auto"/>
          <w:sz w:val="28"/>
          <w:szCs w:val="28"/>
        </w:rPr>
      </w:pPr>
      <w:r>
        <w:rPr>
          <w:rFonts w:hint="eastAsia" w:ascii="仿宋" w:hAnsi="仿宋" w:eastAsia="仿宋" w:cs="仿宋"/>
          <w:color w:val="auto"/>
          <w:sz w:val="28"/>
          <w:szCs w:val="28"/>
        </w:rPr>
        <w:t>2、生产总值、各产业增加值绝对数按现价计算，增长速度按可比价计算。</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3、年末全县总人口数取自公安局户籍人口数。</w:t>
      </w:r>
    </w:p>
    <w:p>
      <w:pPr>
        <w:rPr>
          <w:color w:val="auto"/>
          <w:sz w:val="32"/>
          <w:szCs w:val="32"/>
        </w:rPr>
      </w:pPr>
      <w:r>
        <w:rPr>
          <w:rFonts w:hint="default"/>
          <w:color w:val="auto"/>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90145A"/>
    <w:multiLevelType w:val="singleLevel"/>
    <w:tmpl w:val="C490145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63D5"/>
    <w:rsid w:val="02F624D6"/>
    <w:rsid w:val="06A604B5"/>
    <w:rsid w:val="0B8C6072"/>
    <w:rsid w:val="0C5B7EDF"/>
    <w:rsid w:val="0C8E6F9C"/>
    <w:rsid w:val="0D9B323A"/>
    <w:rsid w:val="105A22BA"/>
    <w:rsid w:val="10D53C72"/>
    <w:rsid w:val="11014CA1"/>
    <w:rsid w:val="14064BBB"/>
    <w:rsid w:val="15EA636C"/>
    <w:rsid w:val="176B5198"/>
    <w:rsid w:val="18797C64"/>
    <w:rsid w:val="1B470999"/>
    <w:rsid w:val="205D532F"/>
    <w:rsid w:val="20B450FC"/>
    <w:rsid w:val="20BB1E21"/>
    <w:rsid w:val="22E903BD"/>
    <w:rsid w:val="23566407"/>
    <w:rsid w:val="26B51CF9"/>
    <w:rsid w:val="2A1D2FA8"/>
    <w:rsid w:val="2B5C7B92"/>
    <w:rsid w:val="2D20443C"/>
    <w:rsid w:val="2DA92062"/>
    <w:rsid w:val="2E8662CC"/>
    <w:rsid w:val="2F68371E"/>
    <w:rsid w:val="327249A0"/>
    <w:rsid w:val="327C1881"/>
    <w:rsid w:val="34212101"/>
    <w:rsid w:val="393F096E"/>
    <w:rsid w:val="3BEB7A78"/>
    <w:rsid w:val="3BEC7814"/>
    <w:rsid w:val="3CF443A9"/>
    <w:rsid w:val="3D122322"/>
    <w:rsid w:val="400B73B7"/>
    <w:rsid w:val="41EB05EE"/>
    <w:rsid w:val="42427E7A"/>
    <w:rsid w:val="4499541E"/>
    <w:rsid w:val="4A4717DA"/>
    <w:rsid w:val="4DB1634A"/>
    <w:rsid w:val="503F057E"/>
    <w:rsid w:val="50FA5852"/>
    <w:rsid w:val="51061F28"/>
    <w:rsid w:val="53B76CA8"/>
    <w:rsid w:val="558B3421"/>
    <w:rsid w:val="57842D2E"/>
    <w:rsid w:val="58AC3BE7"/>
    <w:rsid w:val="5A2940E2"/>
    <w:rsid w:val="5AF209EA"/>
    <w:rsid w:val="5D6A3D62"/>
    <w:rsid w:val="5DCB718F"/>
    <w:rsid w:val="5E1B7E69"/>
    <w:rsid w:val="5EA152A0"/>
    <w:rsid w:val="5EA861DF"/>
    <w:rsid w:val="5FA100E4"/>
    <w:rsid w:val="613762A0"/>
    <w:rsid w:val="61D50FCB"/>
    <w:rsid w:val="662A2B0C"/>
    <w:rsid w:val="670D69ED"/>
    <w:rsid w:val="6A88180D"/>
    <w:rsid w:val="6EBC214B"/>
    <w:rsid w:val="702C0165"/>
    <w:rsid w:val="70933D6E"/>
    <w:rsid w:val="71133E76"/>
    <w:rsid w:val="73985F5D"/>
    <w:rsid w:val="73A8479F"/>
    <w:rsid w:val="73D34C5E"/>
    <w:rsid w:val="746425E4"/>
    <w:rsid w:val="75856A2A"/>
    <w:rsid w:val="75A41D17"/>
    <w:rsid w:val="77463F64"/>
    <w:rsid w:val="78231109"/>
    <w:rsid w:val="789B5B2F"/>
    <w:rsid w:val="7BD9166D"/>
    <w:rsid w:val="7CB141E8"/>
    <w:rsid w:val="7FF5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index 5"/>
    <w:basedOn w:val="1"/>
    <w:next w:val="1"/>
    <w:qFormat/>
    <w:uiPriority w:val="0"/>
    <w:pPr>
      <w:ind w:left="1680"/>
    </w:pPr>
  </w:style>
  <w:style w:type="paragraph" w:styleId="8">
    <w:name w:val="Body Text"/>
    <w:basedOn w:val="1"/>
    <w:qFormat/>
    <w:uiPriority w:val="0"/>
    <w:rPr>
      <w:rFonts w:ascii="Calibri" w:hAnsi="Calibri" w:eastAsia="仿宋_GB2312" w:cs="Times New Roman"/>
      <w:sz w:val="32"/>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customStyle="1" w:styleId="14">
    <w:name w:val="索引 51"/>
    <w:basedOn w:val="1"/>
    <w:next w:val="1"/>
    <w:qFormat/>
    <w:uiPriority w:val="0"/>
    <w:pPr>
      <w:ind w:left="168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2021-03-08T01:10:00Z</dcterms:created>
  <dc:creator>Administrator</dc:creator>
  <cp:lastModifiedBy>Administrator</cp:lastModifiedBy>
  <dcterms:modified xsi:type="dcterms:W3CDTF">2022-03-17T03:35:07Z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608EEA5514534BC5B5474F138197AAB6</vt:lpwstr>
  </property>
</Properties>
</file>